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8" w:lineRule="atLeast"/>
        <w:ind w:left="0" w:right="0" w:firstLine="0"/>
        <w:jc w:val="center"/>
        <w:rPr>
          <w:rFonts w:hint="default" w:ascii="微软雅黑" w:hAnsi="微软雅黑" w:eastAsia="微软雅黑" w:cs="微软雅黑"/>
          <w:i w:val="0"/>
          <w:caps w:val="0"/>
          <w:color w:val="000000"/>
          <w:spacing w:val="0"/>
          <w:sz w:val="15"/>
          <w:szCs w:val="15"/>
        </w:rPr>
      </w:pPr>
      <w:r>
        <w:rPr>
          <w:rFonts w:ascii="小标宋" w:hAnsi="小标宋" w:eastAsia="小标宋" w:cs="小标宋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北京林业大学科研项目预算调整管理办法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北林科发〔2019〕54号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5"/>
          <w:szCs w:val="15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第一条 为进一步规范科研项目预算调整，提高科研经费使用效益，根据上级文件精神，结合学校实际，制定本办法。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第二条 本办法适用于学校纵向科研项目的预算调整。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第三条 预算调整依据相应的项目管理办法执行。无管理办法的项目，参照国家重点研发计划有关管理规定执行。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第四条 设备费预算总额一般不予调增，间接费用预算总额原则上不予调整。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第五条 已结题项目预算不予调整。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第六条 项目预算调整须由项目负责人提出并填写《北京林业大学科研项目预算调整申请表》，报科技处审批。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第七条 科技处按照相应的管理办法进行分类审批。科技处对材料费、测试化验加工费、燃料动力费、出版/文献/信息传播/知识产权事务费四个科目之间的预算调整，劳务费、专家咨询费、会议费/差旅费/国际合作交流费、其他支出四个科目之间的预算调整直接审批。其他类别的预算调整采用论证会、评审会等形式确定方案后由科技处审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第八条 学校没有调整权限的科目，科技处应根据相关规定，向有调整权限的机构申请，经批准后方可调整。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第九条 预算调整审批通过后，由财务处执行，项目组应妥善保存预算调整审批材料，以备项目验收、审计和检查。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63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第十条 本办法由科技处负责解释。本办法经2019年6月30日学校党委常委会决议通过，自2019年10月1日起施行。原《北京林业大学科研项目预算调整管理办法》（北林科发〔2016〕49号）同时废止。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1B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2020-09-08T08:42:51Z</dcterms:created>
  <dc:creator>kejichu</dc:creator>
  <cp:lastModifiedBy>，gogo</cp:lastModifiedBy>
  <dcterms:modified xsi:type="dcterms:W3CDTF">2020-09-08T08:43:03Z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