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ADCDB0">
      <w:pPr>
        <w:adjustRightInd w:val="0"/>
        <w:spacing w:line="560" w:lineRule="exact"/>
        <w:contextualSpacing/>
        <w:jc w:val="center"/>
        <w:rPr>
          <w:rFonts w:hint="eastAsia" w:ascii="方正仿宋_GBK" w:hAnsi="方正仿宋_GBK" w:eastAsia="方正仿宋_GBK" w:cs="方正仿宋_GBK"/>
          <w:b/>
          <w:bCs w:val="0"/>
          <w:color w:val="000000" w:themeColor="text1"/>
          <w:sz w:val="32"/>
          <w:szCs w:val="32"/>
          <w14:textFill>
            <w14:solidFill>
              <w14:schemeClr w14:val="tx1"/>
            </w14:solidFill>
          </w14:textFill>
        </w:rPr>
      </w:pPr>
    </w:p>
    <w:p w14:paraId="0EB9DC49">
      <w:pPr>
        <w:pStyle w:val="28"/>
        <w:snapToGrid/>
        <w:spacing w:line="560" w:lineRule="exact"/>
        <w:contextualSpacing/>
        <w:jc w:val="both"/>
        <w:rPr>
          <w:rFonts w:hint="eastAsia" w:ascii="方正仿宋_GBK" w:hAnsi="方正仿宋_GBK" w:eastAsia="方正仿宋_GBK" w:cs="方正仿宋_GBK"/>
          <w:b/>
          <w:bCs w:val="0"/>
          <w:sz w:val="32"/>
          <w:szCs w:val="32"/>
        </w:rPr>
      </w:pPr>
      <w:r>
        <w:rPr>
          <w:rFonts w:hint="eastAsia" w:ascii="方正仿宋_GBK" w:hAnsi="方正仿宋_GBK" w:eastAsia="方正仿宋_GBK" w:cs="方正仿宋_GBK"/>
          <w:b/>
          <w:bCs w:val="0"/>
          <w:sz w:val="32"/>
          <w:szCs w:val="32"/>
        </w:rPr>
        <w:t>附件</w:t>
      </w:r>
      <w:r>
        <w:rPr>
          <w:rFonts w:hint="eastAsia" w:ascii="方正仿宋_GBK" w:hAnsi="方正仿宋_GBK" w:eastAsia="方正仿宋_GBK" w:cs="方正仿宋_GBK"/>
          <w:b/>
          <w:bCs w:val="0"/>
          <w:sz w:val="32"/>
          <w:szCs w:val="32"/>
          <w:lang w:val="en-US" w:eastAsia="zh-CN"/>
        </w:rPr>
        <w:t>1</w:t>
      </w:r>
      <w:r>
        <w:rPr>
          <w:rFonts w:hint="eastAsia" w:ascii="方正仿宋_GBK" w:hAnsi="方正仿宋_GBK" w:eastAsia="方正仿宋_GBK" w:cs="方正仿宋_GBK"/>
          <w:b/>
          <w:bCs w:val="0"/>
          <w:sz w:val="32"/>
          <w:szCs w:val="32"/>
        </w:rPr>
        <w:t>：</w:t>
      </w:r>
    </w:p>
    <w:p w14:paraId="0B44A0C8">
      <w:pPr>
        <w:pStyle w:val="28"/>
        <w:snapToGrid/>
        <w:spacing w:line="560" w:lineRule="exact"/>
        <w:contextualSpacing/>
        <w:rPr>
          <w:rFonts w:hint="eastAsia" w:ascii="方正小标宋_GBK" w:hAnsi="方正小标宋_GBK" w:eastAsia="方正小标宋_GBK" w:cs="方正小标宋_GBK"/>
          <w:sz w:val="44"/>
          <w:szCs w:val="44"/>
        </w:rPr>
      </w:pPr>
    </w:p>
    <w:p w14:paraId="62D8DE56">
      <w:pPr>
        <w:pStyle w:val="28"/>
        <w:snapToGrid/>
        <w:spacing w:line="560" w:lineRule="exact"/>
        <w:contextualSpacing/>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自治区绿色矿业领域重大科技专项、重点研发任务专项项目</w:t>
      </w:r>
      <w:r>
        <w:rPr>
          <w:rFonts w:hint="eastAsia" w:ascii="方正小标宋_GBK" w:hAnsi="方正小标宋_GBK" w:eastAsia="方正小标宋_GBK" w:cs="方正小标宋_GBK"/>
          <w:sz w:val="44"/>
          <w:szCs w:val="44"/>
          <w:lang w:eastAsia="zh-CN"/>
        </w:rPr>
        <w:t>申报</w:t>
      </w:r>
      <w:r>
        <w:rPr>
          <w:rFonts w:hint="eastAsia" w:ascii="方正小标宋_GBK" w:hAnsi="方正小标宋_GBK" w:eastAsia="方正小标宋_GBK" w:cs="方正小标宋_GBK"/>
          <w:sz w:val="44"/>
          <w:szCs w:val="44"/>
        </w:rPr>
        <w:t>指南</w:t>
      </w:r>
    </w:p>
    <w:p w14:paraId="34D68699">
      <w:pPr>
        <w:pStyle w:val="28"/>
        <w:snapToGrid/>
        <w:spacing w:line="560" w:lineRule="exact"/>
        <w:contextualSpacing/>
        <w:rPr>
          <w:rFonts w:ascii="Times New Roman" w:hAnsi="Times New Roman" w:eastAsia="方正小标宋_GBK"/>
          <w:sz w:val="40"/>
          <w:szCs w:val="40"/>
        </w:rPr>
      </w:pPr>
    </w:p>
    <w:p w14:paraId="10321978">
      <w:pPr>
        <w:pStyle w:val="2"/>
        <w:spacing w:before="0" w:after="0" w:line="560" w:lineRule="exact"/>
        <w:ind w:firstLine="611"/>
        <w:contextualSpacing/>
        <w:rPr>
          <w:rFonts w:ascii="Times New Roman" w:hAnsi="Times New Roman" w:eastAsia="方正黑体_GBK"/>
          <w:b w:val="0"/>
          <w:bCs w:val="0"/>
        </w:rPr>
      </w:pPr>
      <w:r>
        <w:rPr>
          <w:rFonts w:hint="eastAsia" w:ascii="Times New Roman" w:hAnsi="Times New Roman" w:eastAsia="方正黑体_GBK"/>
          <w:b w:val="0"/>
        </w:rPr>
        <w:t>一、重大科技专项</w:t>
      </w:r>
    </w:p>
    <w:p w14:paraId="6D07D9F2">
      <w:pPr>
        <w:pStyle w:val="3"/>
        <w:spacing w:before="0" w:after="0" w:line="560" w:lineRule="exact"/>
        <w:ind w:firstLine="656"/>
        <w:contextualSpacing/>
        <w:rPr>
          <w:rStyle w:val="15"/>
          <w:rFonts w:ascii="Times New Roman" w:hAnsi="Times New Roman" w:eastAsia="方正楷体_GBK"/>
          <w:b w:val="0"/>
          <w:bCs/>
        </w:rPr>
      </w:pPr>
      <w:bookmarkStart w:id="0" w:name="_Toc196728674"/>
      <w:r>
        <w:rPr>
          <w:rStyle w:val="15"/>
          <w:rFonts w:hint="eastAsia" w:ascii="Times New Roman" w:hAnsi="Times New Roman" w:eastAsia="方正楷体_GBK"/>
          <w:b w:val="0"/>
          <w:bCs/>
        </w:rPr>
        <w:t>（一）</w:t>
      </w:r>
      <w:bookmarkEnd w:id="0"/>
      <w:r>
        <w:rPr>
          <w:rStyle w:val="15"/>
          <w:rFonts w:hint="eastAsia" w:ascii="Times New Roman" w:hAnsi="Times New Roman" w:eastAsia="方正楷体_GBK"/>
          <w:b w:val="0"/>
          <w:bCs/>
        </w:rPr>
        <w:t>新疆铝土矿成矿规律与资源潜力评价</w:t>
      </w:r>
    </w:p>
    <w:p w14:paraId="61411272">
      <w:pPr>
        <w:pStyle w:val="10"/>
        <w:snapToGrid/>
        <w:ind w:firstLine="634"/>
        <w:rPr>
          <w:rFonts w:ascii="Times New Roman" w:hAnsi="Times New Roman"/>
          <w:b/>
          <w:bCs/>
        </w:rPr>
      </w:pPr>
      <w:r>
        <w:rPr>
          <w:rFonts w:hint="eastAsia" w:ascii="Times New Roman" w:hAnsi="Times New Roman"/>
          <w:b/>
          <w:bCs/>
        </w:rPr>
        <w:t>主要研究内容：</w:t>
      </w:r>
    </w:p>
    <w:p w14:paraId="186D913C">
      <w:pPr>
        <w:pStyle w:val="10"/>
        <w:snapToGrid/>
        <w:rPr>
          <w:rFonts w:ascii="Times New Roman" w:hAnsi="Times New Roman"/>
        </w:rPr>
      </w:pPr>
      <w:r>
        <w:rPr>
          <w:rFonts w:hint="eastAsia" w:ascii="Times New Roman" w:hAnsi="Times New Roman"/>
        </w:rPr>
        <w:t>以发现新疆大型-超大型铝土矿床为目标，阐明铝土成矿地质背景条件，揭示构造演化与成矿耦合机制，恢复重建重要成矿带的古地理与古气候格局；解剖典型铝土矿床，开展地层学、岩石学、矿物学、矿床地球化学和年代学研究，查明铝土矿赋存层位、岩相、矿层结构和成矿物质来源；解析铝土矿风化淋滤富集过程、揭示共伴生元素赋存状态和富集规律，建立铝土矿成矿模型；建立新疆铝土矿找矿标志体系，总结成矿规律，明确找矿方向，圈定找矿远景区和找矿靶区；集成适宜新疆铝土矿的高效勘查技术方法组合，科学评价铝土矿资源潜力，结合勘查工程验证，实现新疆铝土矿找矿突破。</w:t>
      </w:r>
    </w:p>
    <w:p w14:paraId="3E695AE7">
      <w:pPr>
        <w:pStyle w:val="29"/>
        <w:snapToGrid/>
        <w:ind w:firstLine="643"/>
        <w:contextualSpacing/>
        <w:rPr>
          <w:rFonts w:ascii="Times New Roman" w:hAnsi="Times New Roman"/>
          <w:b/>
          <w:bCs/>
          <w:lang w:eastAsia="zh-CN"/>
        </w:rPr>
      </w:pPr>
      <w:r>
        <w:rPr>
          <w:rFonts w:hint="eastAsia" w:ascii="Times New Roman" w:hAnsi="Times New Roman"/>
          <w:b/>
          <w:bCs/>
          <w:lang w:eastAsia="zh-CN"/>
        </w:rPr>
        <w:t>关键指标：</w:t>
      </w:r>
    </w:p>
    <w:p w14:paraId="6AD11AEB">
      <w:pPr>
        <w:pStyle w:val="29"/>
        <w:snapToGrid/>
        <w:ind w:firstLine="640"/>
        <w:contextualSpacing/>
        <w:rPr>
          <w:rFonts w:ascii="Times New Roman" w:hAnsi="Times New Roman"/>
        </w:rPr>
      </w:pPr>
      <w:r>
        <w:rPr>
          <w:rFonts w:hint="eastAsia" w:ascii="Times New Roman" w:hAnsi="Times New Roman"/>
        </w:rPr>
        <w:t>查明新疆铝土矿风化淋滤过程、矿层结构、分布规律和共伴生Li等元素富集规律及赋存状态；编制1:20万新疆重点区域铝土矿成矿预测图1套；查明新疆铝土矿成因类型，建立新疆地区铝土矿成矿模型1-2个；集成适宜新疆铝土矿高效勘查技术方法1套；圈定找矿远景区7-10处，找矿靶区2-3处；科学评价新疆铝土矿资源潜力，预测铝土矿潜在资源5000万吨，提交铝土矿推断资源量1000万吨；发表学术论文10-15篇，出版学术专著1部；培养硕博研究生8-10人</w:t>
      </w:r>
      <w:r>
        <w:rPr>
          <w:rFonts w:hint="eastAsia" w:ascii="Times New Roman" w:hAnsi="Times New Roman"/>
          <w:lang w:eastAsia="zh-CN"/>
        </w:rPr>
        <w:t>，晋升副高级职称</w:t>
      </w:r>
      <w:r>
        <w:rPr>
          <w:rFonts w:hint="eastAsia" w:ascii="Times New Roman" w:hAnsi="Times New Roman"/>
        </w:rPr>
        <w:t>5-6人。</w:t>
      </w:r>
    </w:p>
    <w:p w14:paraId="7302A2C1">
      <w:pPr>
        <w:pStyle w:val="3"/>
        <w:spacing w:before="0" w:after="0" w:line="560" w:lineRule="exact"/>
        <w:ind w:firstLine="656"/>
        <w:contextualSpacing/>
        <w:rPr>
          <w:rStyle w:val="15"/>
          <w:rFonts w:ascii="Times New Roman" w:hAnsi="Times New Roman" w:eastAsia="方正楷体_GBK"/>
          <w:b w:val="0"/>
          <w:bCs/>
        </w:rPr>
      </w:pPr>
      <w:bookmarkStart w:id="1" w:name="_Toc196728675"/>
      <w:r>
        <w:rPr>
          <w:rStyle w:val="15"/>
          <w:rFonts w:hint="eastAsia" w:ascii="Times New Roman" w:hAnsi="Times New Roman" w:eastAsia="方正楷体_GBK"/>
          <w:b w:val="0"/>
          <w:bCs/>
        </w:rPr>
        <w:t>（二）</w:t>
      </w:r>
      <w:bookmarkEnd w:id="1"/>
      <w:r>
        <w:rPr>
          <w:rStyle w:val="15"/>
          <w:rFonts w:hint="eastAsia" w:ascii="Times New Roman" w:hAnsi="Times New Roman" w:eastAsia="方正楷体_GBK"/>
          <w:b w:val="0"/>
          <w:bCs/>
        </w:rPr>
        <w:t>新疆东天山钒钛磁铁矿勘查示范与高值化利用关键技术研发</w:t>
      </w:r>
    </w:p>
    <w:p w14:paraId="472AA9D8">
      <w:pPr>
        <w:pStyle w:val="10"/>
        <w:snapToGrid/>
        <w:ind w:firstLine="634"/>
        <w:rPr>
          <w:rFonts w:ascii="Times New Roman" w:hAnsi="Times New Roman"/>
          <w:b/>
          <w:bCs/>
        </w:rPr>
      </w:pPr>
      <w:r>
        <w:rPr>
          <w:rFonts w:hint="eastAsia" w:ascii="Times New Roman" w:hAnsi="Times New Roman"/>
          <w:b/>
          <w:bCs/>
        </w:rPr>
        <w:t>主要研究内容：</w:t>
      </w:r>
    </w:p>
    <w:p w14:paraId="4AC29451">
      <w:pPr>
        <w:pStyle w:val="10"/>
        <w:snapToGrid/>
        <w:ind w:firstLine="640"/>
        <w:rPr>
          <w:rFonts w:ascii="Times New Roman" w:hAnsi="Times New Roman"/>
          <w:spacing w:val="0"/>
          <w:kern w:val="2"/>
          <w:lang w:eastAsia="zh-Hans"/>
        </w:rPr>
      </w:pPr>
      <w:r>
        <w:rPr>
          <w:rFonts w:hint="eastAsia" w:ascii="Times New Roman" w:hAnsi="Times New Roman"/>
          <w:spacing w:val="0"/>
          <w:kern w:val="2"/>
          <w:lang w:eastAsia="zh-Hans"/>
        </w:rPr>
        <w:t>针对制约新疆钒钛磁铁矿高效勘查、开发与高值化利用的关键科学问题和技术瓶颈，开展地-勘-采-选-冶全链条研究，阐明新疆东天山钒钛磁铁矿成矿构造背景、动力学机制以及区域成矿规律，创新重大岩浆-构造事件与大规模钒钛磁铁矿成矿耦合作用的理论；开展东天山浅覆盖区钒钛磁铁矿勘查技术方法应用研究，提取关键控矿因素，建立地质找矿模型，开展靶区优选及增储示范；开展钒钛磁铁矿工艺矿物学特性研究，揭示沸腾氯化杂质元素迁移与筛板阻塞机理研究；研发集成钒钛磁铁矿高效加工与碎磨、矿岩块度控制及精准爆破和分级技术，研究新疆低品位高钙镁钛原料沸腾氯化法制备四氯化钛大型装备及工艺技术，研制节能高效21吨/炉大型还原蒸馏联合炉制备高品质海绵钛装备；开展地质矿产勘查与钛资源高值化利用工程示范，建成单线产能大、国际先进的具有自主知识产权的海绵钛生产系统。</w:t>
      </w:r>
    </w:p>
    <w:p w14:paraId="25C0C0E4">
      <w:pPr>
        <w:pStyle w:val="10"/>
        <w:snapToGrid/>
        <w:ind w:firstLine="634"/>
        <w:rPr>
          <w:rFonts w:ascii="Times New Roman" w:hAnsi="Times New Roman"/>
        </w:rPr>
      </w:pPr>
      <w:r>
        <w:rPr>
          <w:rFonts w:hint="eastAsia" w:ascii="Times New Roman" w:hAnsi="Times New Roman"/>
          <w:b/>
          <w:bCs/>
        </w:rPr>
        <w:t>关键指标：</w:t>
      </w:r>
    </w:p>
    <w:p w14:paraId="6EB4C005">
      <w:pPr>
        <w:pStyle w:val="10"/>
        <w:snapToGrid/>
        <w:rPr>
          <w:rFonts w:ascii="Times New Roman" w:hAnsi="Times New Roman"/>
        </w:rPr>
      </w:pPr>
      <w:r>
        <w:rPr>
          <w:rFonts w:hint="eastAsia" w:ascii="Times New Roman" w:hAnsi="Times New Roman"/>
        </w:rPr>
        <w:t>集成浅覆盖区钒钛磁铁矿勘查技术方法组合1套，建立钒钛磁铁矿成矿和勘查模型1套；提交找矿靶区2-3处，产学研用结合工程验证1-2处，新增资源量铁矿石6亿吨、TiO</w:t>
      </w:r>
      <w:r>
        <w:rPr>
          <w:rFonts w:hint="eastAsia" w:ascii="Times New Roman" w:hAnsi="Times New Roman"/>
          <w:vertAlign w:val="subscript"/>
        </w:rPr>
        <w:t>2</w:t>
      </w:r>
      <w:r>
        <w:rPr>
          <w:rFonts w:hint="eastAsia" w:ascii="Times New Roman" w:hAnsi="Times New Roman"/>
        </w:rPr>
        <w:t>氧化物量2400万吨、V</w:t>
      </w:r>
      <w:r>
        <w:rPr>
          <w:rFonts w:hint="eastAsia" w:ascii="Times New Roman" w:hAnsi="Times New Roman"/>
          <w:vertAlign w:val="subscript"/>
        </w:rPr>
        <w:t>2</w:t>
      </w:r>
      <w:r>
        <w:rPr>
          <w:rFonts w:hint="eastAsia" w:ascii="Times New Roman" w:hAnsi="Times New Roman"/>
        </w:rPr>
        <w:t>O</w:t>
      </w:r>
      <w:r>
        <w:rPr>
          <w:rFonts w:hint="eastAsia" w:ascii="Times New Roman" w:hAnsi="Times New Roman"/>
          <w:vertAlign w:val="subscript"/>
        </w:rPr>
        <w:t>5</w:t>
      </w:r>
      <w:r>
        <w:rPr>
          <w:rFonts w:hint="eastAsia" w:ascii="Times New Roman" w:hAnsi="Times New Roman"/>
        </w:rPr>
        <w:t>氧化物量60万吨，支撑形成大型资源基地1处；开发新疆钒钛磁铁矿精准爆破关键技术1套；开发新疆低品位钒钛磁铁矿低碳高效精细磨选关键技术1套，开发微细粒钛铁矿绿色高效回收技术1套，铁精矿TFe品位大于60%、铁精矿中钒对原矿回收率大于50%、钛精矿TiO</w:t>
      </w:r>
      <w:r>
        <w:rPr>
          <w:rFonts w:hint="eastAsia" w:ascii="Times New Roman" w:hAnsi="Times New Roman"/>
          <w:vertAlign w:val="subscript"/>
        </w:rPr>
        <w:t>2</w:t>
      </w:r>
      <w:r>
        <w:rPr>
          <w:rFonts w:hint="eastAsia" w:ascii="Times New Roman" w:hAnsi="Times New Roman"/>
        </w:rPr>
        <w:t>品位大于47%、钛精矿中TiO</w:t>
      </w:r>
      <w:r>
        <w:rPr>
          <w:rFonts w:hint="eastAsia" w:ascii="Times New Roman" w:hAnsi="Times New Roman"/>
          <w:vertAlign w:val="subscript"/>
        </w:rPr>
        <w:t>2</w:t>
      </w:r>
      <w:r>
        <w:rPr>
          <w:rFonts w:hint="eastAsia" w:ascii="Times New Roman" w:hAnsi="Times New Roman"/>
        </w:rPr>
        <w:t>对原矿回收率大于40%；形成可适应新疆钛矿特性的沸腾氯化处理装备及技术1套，沸腾氯化杂质元素控制与改善流化状态技术1套，21吨/炉海绵钛超大型还原蒸馏联合炉技术及装备1套；超大型海绵钛反应器全生命周期模拟监测技术1套；沸腾氯化工艺可使用新疆低品位高钙镁钛渣，氯化系统钛回收率≥90%；精TiCl</w:t>
      </w:r>
      <w:r>
        <w:rPr>
          <w:rFonts w:hint="eastAsia" w:ascii="Times New Roman" w:hAnsi="Times New Roman"/>
          <w:vertAlign w:val="subscript"/>
        </w:rPr>
        <w:t>4</w:t>
      </w:r>
      <w:r>
        <w:rPr>
          <w:rFonts w:hint="eastAsia" w:ascii="Times New Roman" w:hAnsi="Times New Roman"/>
        </w:rPr>
        <w:t>符合YS/T655-2016标准，达到TiCl</w:t>
      </w:r>
      <w:r>
        <w:rPr>
          <w:rFonts w:hint="eastAsia" w:ascii="Times New Roman" w:hAnsi="Times New Roman"/>
          <w:vertAlign w:val="subscript"/>
        </w:rPr>
        <w:t>4</w:t>
      </w:r>
      <w:r>
        <w:rPr>
          <w:rFonts w:hint="eastAsia" w:ascii="Times New Roman" w:hAnsi="Times New Roman"/>
        </w:rPr>
        <w:t>-01标准的产品占比≥90%；单炉海绵钛产量≥21吨，吨钛生产周期&lt;20h；海绵钛0级品产率≥75%，产品疏松度≤1.4g/cm3；海绵钛生产综合电耗下降至4500kWh/t；发表论文不少于20篇，授权发明专利3-4项、实用新型专利4-5项，培养硕博研究生5-7人。</w:t>
      </w:r>
    </w:p>
    <w:p w14:paraId="27376DD0">
      <w:pPr>
        <w:pStyle w:val="3"/>
        <w:spacing w:before="0" w:after="0" w:line="560" w:lineRule="exact"/>
        <w:ind w:firstLine="656"/>
        <w:contextualSpacing/>
        <w:rPr>
          <w:rStyle w:val="15"/>
          <w:rFonts w:ascii="Times New Roman" w:hAnsi="Times New Roman" w:eastAsia="方正楷体_GBK"/>
          <w:b w:val="0"/>
          <w:bCs/>
        </w:rPr>
      </w:pPr>
      <w:bookmarkStart w:id="2" w:name="_Toc196728676"/>
      <w:r>
        <w:rPr>
          <w:rStyle w:val="15"/>
          <w:rFonts w:hint="eastAsia" w:ascii="Times New Roman" w:hAnsi="Times New Roman" w:eastAsia="方正楷体_GBK"/>
          <w:b w:val="0"/>
          <w:bCs/>
        </w:rPr>
        <w:t>（三）</w:t>
      </w:r>
      <w:bookmarkEnd w:id="2"/>
      <w:r>
        <w:rPr>
          <w:rStyle w:val="15"/>
          <w:rFonts w:hint="eastAsia" w:ascii="Times New Roman" w:hAnsi="Times New Roman" w:eastAsia="方正楷体_GBK"/>
          <w:b w:val="0"/>
          <w:bCs/>
        </w:rPr>
        <w:t>西南天山锆（铪）砂矿成矿规律及潜力评价</w:t>
      </w:r>
    </w:p>
    <w:p w14:paraId="147C90EB">
      <w:pPr>
        <w:pStyle w:val="10"/>
        <w:snapToGrid/>
        <w:ind w:firstLine="634"/>
        <w:rPr>
          <w:rFonts w:ascii="Times New Roman" w:hAnsi="Times New Roman"/>
        </w:rPr>
      </w:pPr>
      <w:r>
        <w:rPr>
          <w:rFonts w:hint="eastAsia" w:ascii="Times New Roman" w:hAnsi="Times New Roman"/>
          <w:b/>
          <w:bCs/>
        </w:rPr>
        <w:t>主要研究内容：</w:t>
      </w:r>
    </w:p>
    <w:p w14:paraId="1D090E8B">
      <w:pPr>
        <w:pStyle w:val="10"/>
        <w:ind w:firstLine="640"/>
        <w:rPr>
          <w:rFonts w:ascii="Times New Roman" w:hAnsi="Times New Roman"/>
          <w:spacing w:val="0"/>
          <w:kern w:val="2"/>
          <w:lang w:eastAsia="zh-Hans"/>
        </w:rPr>
      </w:pPr>
      <w:r>
        <w:rPr>
          <w:rFonts w:hint="eastAsia"/>
        </w:rPr>
        <w:t>围绕新疆西南天山重点锆（铪）矿，以“物质来源-沉积过程-富集机制-保存条件”为核心，揭示锆（铪）矿的成矿时代、物质来源、沉积体系与富集动力学及保存机制，查明成矿期大地构造背景及古气候特征，总结不同类型锆（铪）矿成矿规律；开展重点工作区地物化遥方法试验，集成高效适宜勘查技术方法组合，建立成矿模式和找矿预测模型，圈定成矿远景区和找矿靶区，科学评估锆（铪）矿资源潜力，实施工程验证，实现资源增储；开展锆（铪）工艺矿物学和综合利用关键技术研究，优选适宜选矿工艺流程，研发尾矿建材及生态化利用关键技术研究，加快推进资源综合开发利用。</w:t>
      </w:r>
    </w:p>
    <w:p w14:paraId="6E5102F3">
      <w:pPr>
        <w:pStyle w:val="10"/>
        <w:snapToGrid/>
        <w:ind w:firstLine="634"/>
        <w:rPr>
          <w:rFonts w:ascii="Times New Roman" w:hAnsi="Times New Roman"/>
          <w:b/>
          <w:bCs/>
        </w:rPr>
      </w:pPr>
      <w:r>
        <w:rPr>
          <w:rFonts w:hint="eastAsia" w:ascii="Times New Roman" w:hAnsi="Times New Roman"/>
          <w:b/>
          <w:bCs/>
        </w:rPr>
        <w:t>关键指标：</w:t>
      </w:r>
      <w:bookmarkStart w:id="3" w:name="_Toc196728679"/>
    </w:p>
    <w:p w14:paraId="0EEB9CD7">
      <w:pPr>
        <w:pStyle w:val="10"/>
        <w:snapToGrid/>
        <w:rPr>
          <w:rFonts w:hint="eastAsia" w:ascii="Times New Roman" w:hAnsi="Times New Roman"/>
          <w:lang w:eastAsia="zh-Hans"/>
        </w:rPr>
      </w:pPr>
      <w:r>
        <w:rPr>
          <w:rFonts w:hint="eastAsia" w:ascii="Times New Roman" w:hAnsi="Times New Roman"/>
          <w:spacing w:val="0"/>
          <w:kern w:val="2"/>
          <w:lang w:eastAsia="zh-Hans"/>
        </w:rPr>
        <w:t>构建西南天山地区锆（铪）矿成矿模式及找矿预测模型1-3套；集成高效适宜的勘查技术方法组合1套；圈定锆（铪）矿找矿靶区2-4处；科学评估锆（铪）矿资源潜力，提交锆（铪）推断资源量200万吨以上；研发新疆波孜果尔南锆砂矿资源综合利用关键技术1项，锆精矿ZrO</w:t>
      </w:r>
      <w:r>
        <w:rPr>
          <w:rFonts w:hint="eastAsia" w:ascii="Times New Roman" w:hAnsi="Times New Roman"/>
          <w:spacing w:val="0"/>
          <w:kern w:val="2"/>
          <w:vertAlign w:val="subscript"/>
          <w:lang w:eastAsia="zh-Hans"/>
        </w:rPr>
        <w:t>2</w:t>
      </w:r>
      <w:r>
        <w:rPr>
          <w:rFonts w:hint="eastAsia" w:ascii="Times New Roman" w:hAnsi="Times New Roman"/>
          <w:spacing w:val="0"/>
          <w:kern w:val="2"/>
          <w:lang w:eastAsia="zh-Hans"/>
        </w:rPr>
        <w:t>≥60%，锆选矿回收率＞60%，建成中试示范线1条。综合回收钛、稀土，钛精矿TiO</w:t>
      </w:r>
      <w:r>
        <w:rPr>
          <w:rFonts w:hint="eastAsia" w:ascii="Times New Roman" w:hAnsi="Times New Roman"/>
          <w:spacing w:val="0"/>
          <w:kern w:val="2"/>
          <w:vertAlign w:val="subscript"/>
          <w:lang w:eastAsia="zh-Hans"/>
        </w:rPr>
        <w:t>2</w:t>
      </w:r>
      <w:r>
        <w:rPr>
          <w:rFonts w:hint="eastAsia" w:ascii="Times New Roman" w:hAnsi="Times New Roman"/>
          <w:spacing w:val="0"/>
          <w:kern w:val="2"/>
          <w:lang w:eastAsia="zh-Hans"/>
        </w:rPr>
        <w:t>≥46%，稀土精矿TREO≥40%；尾矿建材及生态化利用关键技术2项，研发锆砂尾矿制备工程建材产品配方3种，经专业机构鉴定；授权发明专利2项以上；发表学术论文（SCI/EI/中文核心）10-15篇，培养硕博研究生6-8人</w:t>
      </w:r>
      <w:r>
        <w:rPr>
          <w:rFonts w:hint="eastAsia" w:ascii="Times New Roman" w:hAnsi="Times New Roman"/>
          <w:spacing w:val="0"/>
          <w:kern w:val="2"/>
        </w:rPr>
        <w:t>。</w:t>
      </w:r>
    </w:p>
    <w:p w14:paraId="7D15A35D">
      <w:pPr>
        <w:pStyle w:val="10"/>
        <w:snapToGrid/>
        <w:rPr>
          <w:rStyle w:val="15"/>
          <w:rFonts w:ascii="Times New Roman" w:hAnsi="Times New Roman"/>
          <w:b w:val="0"/>
        </w:rPr>
      </w:pPr>
      <w:r>
        <w:rPr>
          <w:rStyle w:val="15"/>
          <w:rFonts w:hint="eastAsia" w:ascii="Times New Roman" w:hAnsi="Times New Roman" w:eastAsia="方正楷体_GBK"/>
          <w:b w:val="0"/>
        </w:rPr>
        <w:t>（四）</w:t>
      </w:r>
      <w:bookmarkEnd w:id="3"/>
      <w:r>
        <w:rPr>
          <w:rStyle w:val="15"/>
          <w:rFonts w:hint="eastAsia" w:ascii="Times New Roman" w:hAnsi="Times New Roman" w:eastAsia="方正楷体_GBK"/>
          <w:b w:val="0"/>
        </w:rPr>
        <w:t>新疆特提斯演化与斑岩-矽卡岩-浅成低温热液型铜多金属矿成矿潜力评价</w:t>
      </w:r>
    </w:p>
    <w:p w14:paraId="42293333">
      <w:pPr>
        <w:pStyle w:val="10"/>
        <w:snapToGrid/>
        <w:ind w:firstLine="634"/>
        <w:rPr>
          <w:rFonts w:ascii="Times New Roman" w:hAnsi="Times New Roman"/>
        </w:rPr>
      </w:pPr>
      <w:r>
        <w:rPr>
          <w:rFonts w:hint="eastAsia" w:ascii="Times New Roman" w:hAnsi="Times New Roman"/>
          <w:b/>
          <w:bCs/>
        </w:rPr>
        <w:t>主要研究内容：</w:t>
      </w:r>
    </w:p>
    <w:p w14:paraId="419E14A7">
      <w:pPr>
        <w:pStyle w:val="10"/>
        <w:snapToGrid/>
        <w:ind w:firstLine="640"/>
        <w:rPr>
          <w:rFonts w:ascii="Times New Roman" w:hAnsi="Times New Roman"/>
          <w:spacing w:val="0"/>
          <w:kern w:val="2"/>
          <w:lang w:eastAsia="zh-Hans"/>
        </w:rPr>
      </w:pPr>
      <w:r>
        <w:rPr>
          <w:rFonts w:hint="eastAsia" w:ascii="Times New Roman" w:hAnsi="Times New Roman"/>
          <w:spacing w:val="0"/>
          <w:kern w:val="2"/>
          <w:lang w:eastAsia="zh-Hans"/>
        </w:rPr>
        <w:t>聚焦新疆特提斯成矿域（西昆仑-阿尔金成矿带），查明“地层-构造-岩浆岩-变质岩”时空分布格架与地质构造演化过程；开展典型矿床解剖，揭示成矿时代、成矿过程、定位机制、保存条件及与重大地质事件耦合关系，总结成矿规律，建立成矿模式；开展含矿斑岩体识别技术与矿化蚀变中心定位技术研发，集成“天-空-地-井”一体化高效勘查评价方法技术体系，建立适宜综合勘查模型；系统整合不同比例尺多元异构数据，构建知识图谱与地质大数据双驱动的智能找矿预测模型，刻画地质找矿大数据与矿床间的复杂非线性映射关系，开展区域智能找矿预测与资源潜力评价，圈定找矿远景区与找矿靶区，开展勘查增储示范。</w:t>
      </w:r>
    </w:p>
    <w:p w14:paraId="06C21BBF">
      <w:pPr>
        <w:pStyle w:val="10"/>
        <w:snapToGrid/>
        <w:ind w:firstLine="634"/>
        <w:rPr>
          <w:rFonts w:ascii="Times New Roman" w:hAnsi="Times New Roman"/>
          <w:b/>
          <w:bCs/>
        </w:rPr>
      </w:pPr>
      <w:r>
        <w:rPr>
          <w:rFonts w:hint="eastAsia" w:ascii="Times New Roman" w:hAnsi="Times New Roman"/>
          <w:b/>
          <w:bCs/>
        </w:rPr>
        <w:t>关键指标：</w:t>
      </w:r>
      <w:bookmarkStart w:id="4" w:name="_Toc196728685"/>
    </w:p>
    <w:p w14:paraId="10F02068">
      <w:pPr>
        <w:pStyle w:val="10"/>
        <w:snapToGrid/>
        <w:rPr>
          <w:rFonts w:ascii="Times New Roman" w:hAnsi="Times New Roman"/>
        </w:rPr>
      </w:pPr>
      <w:r>
        <w:rPr>
          <w:rFonts w:hint="eastAsia" w:ascii="Times New Roman" w:hAnsi="Times New Roman"/>
          <w:lang w:eastAsia="zh-Hans"/>
        </w:rPr>
        <w:t>查明新疆特提斯成矿域重大地质事件与斑岩-矽卡岩-浅成低温热液型铜多金属成矿响应，总结成矿规律，建立成矿模式3-4套；建立新疆特提斯斑岩-矽卡岩-浅成低温热液型铜多金属矿高效勘查技术方法体系和找矿预测方法体系3-4套、智能找矿预测模型3-4个</w:t>
      </w:r>
      <w:r>
        <w:rPr>
          <w:rFonts w:hint="eastAsia" w:ascii="Times New Roman" w:hAnsi="Times New Roman"/>
          <w:lang w:eastAsia="zh-CN"/>
        </w:rPr>
        <w:t>，</w:t>
      </w:r>
      <w:r>
        <w:rPr>
          <w:rFonts w:hint="eastAsia" w:ascii="Times New Roman" w:hAnsi="Times New Roman"/>
          <w:lang w:val="en-US" w:eastAsia="zh-CN"/>
        </w:rPr>
        <w:t>实现成果转化，推动找矿突破</w:t>
      </w:r>
      <w:r>
        <w:rPr>
          <w:rFonts w:hint="eastAsia" w:ascii="Times New Roman" w:hAnsi="Times New Roman"/>
          <w:lang w:eastAsia="zh-Hans"/>
        </w:rPr>
        <w:t>；科学评价资源潜力，圈定找矿远景区8-10处和找矿靶区4-6处；预测潜在资源量铜100万吨、金50吨，提交推断资源量铜20万吨、金8-10吨；发表高水平学术论文10-15篇，授权发明专利2-3项、登记软件著作权2-3项；培养硕博研究生10-15人，形成一支智能找矿预测与勘查创新团队。</w:t>
      </w:r>
    </w:p>
    <w:p w14:paraId="07BEAFCE">
      <w:pPr>
        <w:pStyle w:val="10"/>
        <w:snapToGrid/>
        <w:rPr>
          <w:rStyle w:val="15"/>
          <w:rFonts w:ascii="Times New Roman" w:hAnsi="Times New Roman"/>
          <w:b w:val="0"/>
        </w:rPr>
      </w:pPr>
      <w:r>
        <w:rPr>
          <w:rStyle w:val="15"/>
          <w:rFonts w:hint="eastAsia" w:ascii="Times New Roman" w:hAnsi="Times New Roman" w:eastAsia="方正楷体_GBK"/>
          <w:b w:val="0"/>
        </w:rPr>
        <w:t>（五）</w:t>
      </w:r>
      <w:bookmarkEnd w:id="4"/>
      <w:r>
        <w:rPr>
          <w:rStyle w:val="15"/>
          <w:rFonts w:hint="eastAsia" w:ascii="Times New Roman" w:hAnsi="Times New Roman" w:eastAsia="方正楷体_GBK"/>
          <w:b w:val="0"/>
        </w:rPr>
        <w:t>新疆伊犁盆地超深砂岩铀矿高效地浸开采关键技术与终采区环境治理研究</w:t>
      </w:r>
    </w:p>
    <w:p w14:paraId="396B21B7">
      <w:pPr>
        <w:pStyle w:val="10"/>
        <w:snapToGrid/>
        <w:ind w:firstLine="634"/>
        <w:rPr>
          <w:rFonts w:ascii="Times New Roman" w:hAnsi="Times New Roman"/>
        </w:rPr>
      </w:pPr>
      <w:r>
        <w:rPr>
          <w:rFonts w:hint="eastAsia" w:ascii="Times New Roman" w:hAnsi="Times New Roman"/>
          <w:b/>
          <w:bCs/>
        </w:rPr>
        <w:t>主要研究内容：</w:t>
      </w:r>
    </w:p>
    <w:p w14:paraId="5DF945F1">
      <w:pPr>
        <w:pStyle w:val="10"/>
        <w:snapToGrid/>
        <w:ind w:firstLine="640"/>
        <w:rPr>
          <w:rFonts w:ascii="Times New Roman" w:hAnsi="Times New Roman"/>
          <w:spacing w:val="0"/>
          <w:kern w:val="2"/>
          <w:lang w:eastAsia="zh-Hans"/>
        </w:rPr>
      </w:pPr>
      <w:r>
        <w:rPr>
          <w:rFonts w:hint="eastAsia" w:ascii="Times New Roman" w:hAnsi="Times New Roman"/>
          <w:spacing w:val="0"/>
          <w:kern w:val="2"/>
          <w:lang w:eastAsia="zh-Hans"/>
        </w:rPr>
        <w:t>以伊犁盆地超深矿体为研究对象，通过开展超深砂岩铀矿浸出模拟控制技术、低渗透性砂岩铀矿储层改造技术、超深砂岩铀矿高效地浸开采技术研究，研发超深砂岩铀矿地浸流场与水化学场调控方法、地浸工艺井钻成井工艺、铀储层增渗技术、高效强氧化浸出技术等一批核心关键技术，形成完整的超深砂岩铀矿的高效地浸采铀新技术体系；通过现场试验验证，获取高效地浸采铀最佳工艺参数；针对地浸采铀终采区浸出组分赋存与迁移过程复杂、地下水污染协同防治难度大等技术问题，开展终采区地下水中污染物精准识别与精细刻画，突破污染传输扩散通量数值模拟与风险预警、终采区地下水环境演化与污染原位修复等关键技术，形成多技术原位协同防治技术体系，建成典型终采区地下水污染协同治理工程示范，为我国天然铀采冶终采区地下水环境综合治理和产业可持续发展提供科学技术支撑。</w:t>
      </w:r>
    </w:p>
    <w:p w14:paraId="3EFD0DEF">
      <w:pPr>
        <w:pStyle w:val="10"/>
        <w:snapToGrid/>
        <w:ind w:firstLine="634"/>
        <w:rPr>
          <w:rFonts w:ascii="Times New Roman" w:hAnsi="Times New Roman"/>
        </w:rPr>
      </w:pPr>
      <w:r>
        <w:rPr>
          <w:rFonts w:hint="eastAsia" w:ascii="Times New Roman" w:hAnsi="Times New Roman"/>
          <w:b/>
          <w:bCs/>
        </w:rPr>
        <w:t>关键指标：</w:t>
      </w:r>
    </w:p>
    <w:p w14:paraId="0D0C6C6F">
      <w:pPr>
        <w:pStyle w:val="10"/>
        <w:snapToGrid/>
        <w:ind w:firstLine="640"/>
        <w:rPr>
          <w:rFonts w:ascii="Times New Roman" w:hAnsi="Times New Roman"/>
          <w:spacing w:val="0"/>
          <w:kern w:val="2"/>
          <w:lang w:eastAsia="zh-Hans"/>
        </w:rPr>
      </w:pPr>
      <w:r>
        <w:rPr>
          <w:rFonts w:hint="eastAsia" w:ascii="Times New Roman" w:hAnsi="Times New Roman"/>
          <w:spacing w:val="0"/>
          <w:kern w:val="2"/>
          <w:lang w:eastAsia="zh-Hans"/>
        </w:rPr>
        <w:t>编制超深地浸工艺钻孔钻成井工艺技术规范（征求意见稿）1项；建立地质/水文地质结构空间模型、地浸水动力模拟与流场控制模型、超深矿体地浸水化学模拟与水化学场控制模型等3套；形成污染清单数据库1套和特征污染物迁移转化关键要素信息图谱1套；特征污染物时空分布刻画精度比现有水平提高50%以上，特征污染物传输扩散通量模拟误差&lt;30%；研发终采区特征污染物传输扩散多过程多场耦合数值模型与风险预警系统平台，建成终采区工程示范不少于1个；授权发明专利5项以上，发表论文8-10篇；培养硕博研究生6-8人。</w:t>
      </w:r>
    </w:p>
    <w:p w14:paraId="30A8934D">
      <w:pPr>
        <w:pStyle w:val="3"/>
        <w:spacing w:before="0" w:after="0" w:line="560" w:lineRule="exact"/>
        <w:ind w:firstLine="656"/>
        <w:contextualSpacing/>
        <w:rPr>
          <w:rStyle w:val="15"/>
          <w:rFonts w:ascii="Times New Roman" w:hAnsi="Times New Roman" w:eastAsia="方正楷体_GBK"/>
          <w:b w:val="0"/>
          <w:bCs/>
        </w:rPr>
      </w:pPr>
      <w:bookmarkStart w:id="5" w:name="_Toc196728696"/>
      <w:r>
        <w:rPr>
          <w:rStyle w:val="15"/>
          <w:rFonts w:hint="eastAsia" w:ascii="Times New Roman" w:hAnsi="Times New Roman" w:eastAsia="方正楷体_GBK"/>
          <w:b w:val="0"/>
          <w:bCs/>
        </w:rPr>
        <w:t>（六）</w:t>
      </w:r>
      <w:bookmarkEnd w:id="5"/>
      <w:r>
        <w:rPr>
          <w:rStyle w:val="15"/>
          <w:rFonts w:hint="eastAsia" w:ascii="Times New Roman" w:hAnsi="Times New Roman" w:eastAsia="方正楷体_GBK"/>
          <w:b w:val="0"/>
          <w:bCs/>
        </w:rPr>
        <w:t>新疆重要交通廊带战略性矿产资源潜力评价与地质安全风险评价</w:t>
      </w:r>
    </w:p>
    <w:p w14:paraId="4E27B48F">
      <w:pPr>
        <w:pStyle w:val="10"/>
        <w:snapToGrid/>
        <w:ind w:firstLine="634"/>
        <w:rPr>
          <w:rFonts w:ascii="Times New Roman" w:hAnsi="Times New Roman"/>
        </w:rPr>
      </w:pPr>
      <w:r>
        <w:rPr>
          <w:rFonts w:hint="eastAsia" w:ascii="Times New Roman" w:hAnsi="Times New Roman"/>
          <w:b/>
          <w:bCs/>
        </w:rPr>
        <w:t>主要研究内容：</w:t>
      </w:r>
    </w:p>
    <w:p w14:paraId="6446A5A4">
      <w:pPr>
        <w:pStyle w:val="10"/>
        <w:snapToGrid/>
        <w:rPr>
          <w:rFonts w:ascii="Times New Roman" w:hAnsi="Times New Roman"/>
        </w:rPr>
      </w:pPr>
      <w:r>
        <w:rPr>
          <w:rFonts w:hint="eastAsia" w:ascii="Times New Roman" w:hAnsi="Times New Roman"/>
        </w:rPr>
        <w:t>开展新疆重要廊带(G219、G0711、G577、G315及新藏铁路、中吉乌铁路等)典型矿床研究，查明沿线战略性矿产成矿地质条件、控矿因素、时空分布，编制区域成矿规律和找矿预测图，总结成矿规律；针对新疆重要廊带沿线近交通、易开发的矿产资源与地质安全协同需求，开展高精度地球物理勘查与多源遥感数据融合分析，构建矿产深部智能预测模型；结合人工智能技术，评价沿线矿产资源潜力，圈定找矿靶区，产学研用结合，实施工程验证，实现资源增储；开展新疆重要廊带沿线活动断裂与强震、冰川-地质灾害、冻土融沉、区域地壳稳定性及探、采活动影响的岩土体变形破坏趋势评价，构建基于多源动态数据驱动的交通廊带地质安全风险评价方法体系，建立地质安全风险动态评价模型，圈定重大地质安全高风险区域，形成新疆线性工程地质安全风险防范示范区；研制智能预测评价与安全决策软件系统，形成全数据、全要素、全知识的智能预测、地质安全决策新范式。</w:t>
      </w:r>
    </w:p>
    <w:p w14:paraId="054D80AA">
      <w:pPr>
        <w:pStyle w:val="29"/>
        <w:snapToGrid/>
        <w:ind w:firstLine="701" w:firstLineChars="221"/>
        <w:contextualSpacing/>
        <w:rPr>
          <w:rFonts w:ascii="Times New Roman" w:hAnsi="Times New Roman"/>
          <w:lang w:eastAsia="zh-CN"/>
        </w:rPr>
      </w:pPr>
      <w:r>
        <w:rPr>
          <w:rFonts w:hint="eastAsia" w:ascii="Times New Roman" w:hAnsi="Times New Roman"/>
          <w:b/>
          <w:bCs/>
          <w:spacing w:val="-2"/>
          <w:kern w:val="0"/>
          <w:lang w:eastAsia="zh-CN"/>
        </w:rPr>
        <w:t>关键指标：</w:t>
      </w:r>
    </w:p>
    <w:p w14:paraId="094DA572">
      <w:pPr>
        <w:pStyle w:val="29"/>
        <w:snapToGrid/>
        <w:ind w:firstLine="742" w:firstLineChars="232"/>
        <w:contextualSpacing/>
        <w:rPr>
          <w:rFonts w:ascii="Times New Roman" w:hAnsi="Times New Roman"/>
        </w:rPr>
      </w:pPr>
      <w:r>
        <w:rPr>
          <w:rFonts w:hint="eastAsia" w:ascii="Times New Roman" w:hAnsi="Times New Roman"/>
        </w:rPr>
        <w:t>建立新疆重要廊带沿线锂、金、铅锌等成矿</w:t>
      </w:r>
      <w:r>
        <w:rPr>
          <w:rFonts w:hint="eastAsia" w:ascii="Times New Roman" w:hAnsi="Times New Roman"/>
          <w:lang w:eastAsia="zh-CN"/>
        </w:rPr>
        <w:t>模式</w:t>
      </w:r>
      <w:r>
        <w:rPr>
          <w:rFonts w:hint="eastAsia" w:ascii="Times New Roman" w:hAnsi="Times New Roman"/>
        </w:rPr>
        <w:t>3-5</w:t>
      </w:r>
      <w:r>
        <w:rPr>
          <w:rFonts w:hint="eastAsia" w:ascii="Times New Roman" w:hAnsi="Times New Roman"/>
          <w:lang w:eastAsia="zh-CN"/>
        </w:rPr>
        <w:t>个</w:t>
      </w:r>
      <w:r>
        <w:rPr>
          <w:rFonts w:hint="eastAsia" w:ascii="Times New Roman" w:hAnsi="Times New Roman"/>
        </w:rPr>
        <w:t>；建立新疆重要交通廊道战略性矿产资源大数据库1个；建立基于多源动态数据驱动的交通廊带地质安全风险评价方法1套；建立地质构造复杂区地质安全风险评价模型1套，编绘沿线地质安全风险评价图1套，建立新疆关键交通廊道战略性矿产资源预测与安全决策系统1套；建立找矿预测模型3-5个，圈定找矿预测靶区6-8处，预测潜在资源锂200万吨、铅锌500万吨、金60吨，提交</w:t>
      </w:r>
      <w:r>
        <w:rPr>
          <w:rFonts w:hint="eastAsia" w:ascii="Times New Roman" w:hAnsi="Times New Roman"/>
          <w:lang w:eastAsia="zh-CN"/>
        </w:rPr>
        <w:t>推断</w:t>
      </w:r>
      <w:r>
        <w:rPr>
          <w:rFonts w:hint="eastAsia" w:ascii="Times New Roman" w:hAnsi="Times New Roman"/>
        </w:rPr>
        <w:t>资源量氧化锂50万吨、铅锌200万吨、金30吨；圈定重大地质安全高风险区域，形成工程地质安全风险防范示范区2处；</w:t>
      </w:r>
      <w:r>
        <w:rPr>
          <w:rFonts w:hint="eastAsia" w:ascii="Times New Roman" w:hAnsi="Times New Roman"/>
          <w:lang w:eastAsia="zh-CN"/>
        </w:rPr>
        <w:t>授权发明专利</w:t>
      </w:r>
      <w:r>
        <w:rPr>
          <w:rFonts w:hint="eastAsia" w:ascii="Times New Roman" w:hAnsi="Times New Roman"/>
        </w:rPr>
        <w:t>4-6项、登记软件著作权3-4项；发表论文1</w:t>
      </w:r>
      <w:r>
        <w:rPr>
          <w:rFonts w:hint="eastAsia" w:ascii="Times New Roman" w:hAnsi="Times New Roman"/>
          <w:lang w:eastAsia="zh-CN"/>
        </w:rPr>
        <w:t>0</w:t>
      </w:r>
      <w:r>
        <w:rPr>
          <w:rFonts w:hint="eastAsia" w:ascii="Times New Roman" w:hAnsi="Times New Roman"/>
        </w:rPr>
        <w:t>-</w:t>
      </w:r>
      <w:r>
        <w:rPr>
          <w:rFonts w:hint="eastAsia" w:ascii="Times New Roman" w:hAnsi="Times New Roman"/>
          <w:lang w:eastAsia="zh-CN"/>
        </w:rPr>
        <w:t>15</w:t>
      </w:r>
      <w:r>
        <w:rPr>
          <w:rFonts w:hint="eastAsia" w:ascii="Times New Roman" w:hAnsi="Times New Roman"/>
        </w:rPr>
        <w:t>篇，培养硕博研究生1</w:t>
      </w:r>
      <w:r>
        <w:rPr>
          <w:rFonts w:hint="eastAsia" w:ascii="Times New Roman" w:hAnsi="Times New Roman"/>
          <w:lang w:eastAsia="zh-CN"/>
        </w:rPr>
        <w:t>0</w:t>
      </w:r>
      <w:r>
        <w:rPr>
          <w:rFonts w:hint="eastAsia" w:ascii="Times New Roman" w:hAnsi="Times New Roman"/>
        </w:rPr>
        <w:t>-</w:t>
      </w:r>
      <w:r>
        <w:rPr>
          <w:rFonts w:hint="eastAsia" w:ascii="Times New Roman" w:hAnsi="Times New Roman"/>
          <w:lang w:eastAsia="zh-CN"/>
        </w:rPr>
        <w:t>15</w:t>
      </w:r>
      <w:r>
        <w:rPr>
          <w:rFonts w:hint="eastAsia" w:ascii="Times New Roman" w:hAnsi="Times New Roman"/>
        </w:rPr>
        <w:t>人。</w:t>
      </w:r>
    </w:p>
    <w:p w14:paraId="02D0B5EC">
      <w:pPr>
        <w:pStyle w:val="2"/>
        <w:spacing w:before="0" w:after="0" w:line="560" w:lineRule="exact"/>
        <w:ind w:firstLine="611"/>
        <w:contextualSpacing/>
        <w:rPr>
          <w:rFonts w:hint="eastAsia" w:ascii="Times New Roman" w:hAnsi="Times New Roman" w:eastAsia="方正黑体_GBK"/>
          <w:b w:val="0"/>
          <w:bCs w:val="0"/>
          <w:lang w:eastAsia="zh-CN"/>
        </w:rPr>
      </w:pPr>
      <w:r>
        <w:rPr>
          <w:rFonts w:hint="eastAsia" w:ascii="Times New Roman" w:hAnsi="Times New Roman" w:eastAsia="方正黑体_GBK"/>
          <w:b w:val="0"/>
        </w:rPr>
        <w:t>二、重点研发</w:t>
      </w:r>
      <w:r>
        <w:rPr>
          <w:rFonts w:hint="eastAsia" w:ascii="Times New Roman" w:hAnsi="Times New Roman" w:eastAsia="方正黑体_GBK"/>
          <w:b w:val="0"/>
          <w:lang w:eastAsia="zh-CN"/>
        </w:rPr>
        <w:t>任务专项</w:t>
      </w:r>
    </w:p>
    <w:p w14:paraId="1BDFD85B">
      <w:pPr>
        <w:pStyle w:val="3"/>
        <w:spacing w:before="0" w:after="0" w:line="560" w:lineRule="exact"/>
        <w:ind w:firstLine="656"/>
        <w:contextualSpacing/>
        <w:rPr>
          <w:rStyle w:val="15"/>
          <w:rFonts w:ascii="Times New Roman" w:hAnsi="Times New Roman" w:eastAsia="方正楷体_GBK"/>
          <w:b w:val="0"/>
          <w:bCs/>
        </w:rPr>
      </w:pPr>
      <w:bookmarkStart w:id="6" w:name="_Toc196728677"/>
      <w:r>
        <w:rPr>
          <w:rStyle w:val="15"/>
          <w:rFonts w:hint="eastAsia" w:ascii="Times New Roman" w:hAnsi="Times New Roman" w:eastAsia="方正楷体_GBK"/>
          <w:b w:val="0"/>
          <w:bCs/>
        </w:rPr>
        <w:t>（一）</w:t>
      </w:r>
      <w:bookmarkEnd w:id="6"/>
      <w:r>
        <w:rPr>
          <w:rStyle w:val="15"/>
          <w:rFonts w:hint="eastAsia" w:ascii="Times New Roman" w:hAnsi="Times New Roman" w:eastAsia="方正楷体_GBK"/>
          <w:b w:val="0"/>
          <w:bCs/>
        </w:rPr>
        <w:t>西天山（境内外）铜金多金属成矿系统对比研究与成矿预测</w:t>
      </w:r>
    </w:p>
    <w:p w14:paraId="757BE8AF">
      <w:pPr>
        <w:pStyle w:val="10"/>
        <w:snapToGrid/>
        <w:ind w:firstLine="634"/>
        <w:rPr>
          <w:rFonts w:ascii="Times New Roman" w:hAnsi="Times New Roman"/>
        </w:rPr>
      </w:pPr>
      <w:bookmarkStart w:id="7" w:name="OLE_LINK19"/>
      <w:r>
        <w:rPr>
          <w:rFonts w:hint="eastAsia" w:ascii="Times New Roman" w:hAnsi="Times New Roman"/>
          <w:b/>
          <w:bCs/>
        </w:rPr>
        <w:t>主要研究内容：</w:t>
      </w:r>
    </w:p>
    <w:p w14:paraId="2D9A7950">
      <w:pPr>
        <w:pStyle w:val="10"/>
        <w:snapToGrid/>
        <w:ind w:firstLine="640"/>
        <w:rPr>
          <w:rFonts w:ascii="Times New Roman" w:hAnsi="Times New Roman"/>
          <w:spacing w:val="0"/>
          <w:kern w:val="2"/>
          <w:lang w:eastAsia="zh-Hans"/>
        </w:rPr>
      </w:pPr>
      <w:r>
        <w:rPr>
          <w:rFonts w:hint="eastAsia" w:ascii="Times New Roman" w:hAnsi="Times New Roman"/>
          <w:spacing w:val="0"/>
          <w:kern w:val="2"/>
          <w:lang w:eastAsia="zh-Hans"/>
        </w:rPr>
        <w:t>聚焦西天山（境内外）铜金矿“大矿不过国界”的关键科学和找矿问题，通过西天山（境内外）铜金成矿系统的大陆动力学背景、铜金成矿系统富集成矿机理、保存条件和定位规律、成矿规律和成矿预测对比研究，揭示区域成矿和保存规律，建立区域构造演化和成矿模型，阐明西天山（境内外）铜金矿“大矿不过国界”的地质原因，科学评价我国西天山铜金矿成矿条件和找矿潜力；厘定重要铜金成矿系统/成矿带分布规律，建立综合找矿模型；开展天-地-空一体化高效勘查勘查技术研究和实验，集成高山-草原-森林景观区高效勘查勘查方法技术组合；通过多元数据信息提取和成矿预测研究，圈定找矿靶区，科学评估西天山（境内外）铜金矿资源潜力，预测潜在资源量；产学研用工程验证，提交推断资源量，实现西天山（境内外）铜金矿增储。</w:t>
      </w:r>
    </w:p>
    <w:bookmarkEnd w:id="7"/>
    <w:p w14:paraId="1A2CAFBB">
      <w:pPr>
        <w:pStyle w:val="10"/>
        <w:snapToGrid/>
        <w:ind w:firstLine="634"/>
        <w:rPr>
          <w:rFonts w:hint="eastAsia" w:ascii="Times New Roman" w:hAnsi="Times New Roman" w:eastAsia="方正仿宋_GBK"/>
          <w:lang w:eastAsia="zh-CN"/>
        </w:rPr>
      </w:pPr>
      <w:r>
        <w:rPr>
          <w:rFonts w:hint="eastAsia" w:ascii="Times New Roman" w:hAnsi="Times New Roman"/>
          <w:b/>
          <w:bCs/>
        </w:rPr>
        <w:t>关键指标</w:t>
      </w:r>
      <w:r>
        <w:rPr>
          <w:rFonts w:hint="eastAsia" w:ascii="Times New Roman" w:hAnsi="Times New Roman"/>
          <w:b/>
          <w:bCs/>
          <w:lang w:eastAsia="zh-CN"/>
        </w:rPr>
        <w:t>：</w:t>
      </w:r>
      <w:bookmarkStart w:id="23" w:name="_GoBack"/>
      <w:bookmarkEnd w:id="23"/>
    </w:p>
    <w:p w14:paraId="3F5E5F37">
      <w:pPr>
        <w:pStyle w:val="10"/>
        <w:snapToGrid/>
        <w:ind w:firstLine="640"/>
        <w:rPr>
          <w:rFonts w:ascii="Times New Roman" w:hAnsi="Times New Roman"/>
          <w:spacing w:val="0"/>
          <w:kern w:val="2"/>
          <w:lang w:eastAsia="zh-Hans"/>
        </w:rPr>
      </w:pPr>
      <w:r>
        <w:rPr>
          <w:rFonts w:hint="eastAsia" w:ascii="Times New Roman" w:hAnsi="Times New Roman"/>
          <w:spacing w:val="0"/>
          <w:kern w:val="2"/>
          <w:lang w:eastAsia="zh-Hans"/>
        </w:rPr>
        <w:t>编制1:50万西天山（境内外）铜金矿成矿规律图；建立西天山（境内外）铜金矿的成矿模式和综合找矿模型各1套</w:t>
      </w:r>
      <w:bookmarkStart w:id="8" w:name="OLE_LINK17"/>
      <w:r>
        <w:rPr>
          <w:rFonts w:hint="eastAsia" w:ascii="Times New Roman" w:hAnsi="Times New Roman"/>
          <w:spacing w:val="0"/>
          <w:kern w:val="2"/>
          <w:lang w:eastAsia="zh-Hans"/>
        </w:rPr>
        <w:t>；集成不同景观区高效勘查勘查方法技术组合1套，研发基于大数据的成矿预测技术平台1套；圈定找矿靶区5-8处，预测潜在资源量铜50万吨以上和金10-20吨，提交推断资源量铜10万吨和金2-3吨；开展学术报告和科普活动10场以上，发表高水平论文20篇以上，授权发明专利3-4项；培养硕博研究生12-15人，晋升副高级职称3-5人。</w:t>
      </w:r>
      <w:bookmarkEnd w:id="8"/>
    </w:p>
    <w:p w14:paraId="2277A95C">
      <w:pPr>
        <w:pStyle w:val="3"/>
        <w:spacing w:before="0" w:after="0" w:line="560" w:lineRule="exact"/>
        <w:ind w:firstLine="656"/>
        <w:contextualSpacing/>
        <w:rPr>
          <w:rStyle w:val="15"/>
          <w:rFonts w:ascii="Times New Roman" w:hAnsi="Times New Roman" w:eastAsia="方正楷体_GBK"/>
          <w:b w:val="0"/>
          <w:bCs/>
        </w:rPr>
      </w:pPr>
      <w:bookmarkStart w:id="9" w:name="_Toc196728678"/>
      <w:r>
        <w:rPr>
          <w:rStyle w:val="15"/>
          <w:rFonts w:hint="eastAsia" w:ascii="Times New Roman" w:hAnsi="Times New Roman" w:eastAsia="方正楷体_GBK"/>
          <w:b w:val="0"/>
          <w:bCs/>
        </w:rPr>
        <w:t>（二）</w:t>
      </w:r>
      <w:bookmarkEnd w:id="9"/>
      <w:r>
        <w:rPr>
          <w:rStyle w:val="15"/>
          <w:rFonts w:hint="eastAsia" w:ascii="Times New Roman" w:hAnsi="Times New Roman" w:eastAsia="方正楷体_GBK"/>
          <w:b w:val="0"/>
          <w:bCs/>
        </w:rPr>
        <w:t>新疆北部岩浆-热液型钴矿富集机理、评价技术与资源预测</w:t>
      </w:r>
    </w:p>
    <w:p w14:paraId="63A8E2DF">
      <w:pPr>
        <w:pStyle w:val="10"/>
        <w:autoSpaceDE w:val="0"/>
        <w:snapToGrid/>
        <w:ind w:firstLine="634"/>
        <w:rPr>
          <w:rFonts w:ascii="Times New Roman" w:hAnsi="Times New Roman"/>
        </w:rPr>
      </w:pPr>
      <w:r>
        <w:rPr>
          <w:rFonts w:hint="eastAsia" w:ascii="Times New Roman" w:hAnsi="Times New Roman"/>
          <w:b/>
          <w:bCs/>
        </w:rPr>
        <w:t>主要研究内容：</w:t>
      </w:r>
    </w:p>
    <w:p w14:paraId="6114648B">
      <w:pPr>
        <w:pStyle w:val="10"/>
        <w:autoSpaceDE w:val="0"/>
        <w:snapToGrid/>
        <w:ind w:firstLine="640"/>
        <w:rPr>
          <w:rFonts w:ascii="Times New Roman" w:hAnsi="Times New Roman"/>
          <w:spacing w:val="0"/>
          <w:kern w:val="2"/>
          <w:lang w:eastAsia="zh-Hans"/>
        </w:rPr>
      </w:pPr>
      <w:r>
        <w:rPr>
          <w:rFonts w:hint="eastAsia" w:ascii="Times New Roman" w:hAnsi="Times New Roman"/>
          <w:spacing w:val="0"/>
          <w:kern w:val="2"/>
          <w:lang w:eastAsia="zh-Hans"/>
        </w:rPr>
        <w:t>针对新疆北部镁铁-超镁铁质岩体、中-基性火山岩有关富钴矿床“富集机理不清，成矿潜力不明”等关键科学问题，查明新疆北部重点成矿带钴在不同成因矿床中的赋存状态、分布规律，限定成矿物质和成矿流体来源，约束不同阶段热液流体钴活化-迁移-富集过程，阐明钴矿区域成矿规律；发展野外手持快速评价技术、室内EPMA、LA-ICP-MS微区原位微量元素分析和成像技术，揭示岩浆过程钴运移沉淀机理；集成岩浆型、热液型钴矿快速评价技术方法组合，建立钴矿床的找矿标志与评价准则，优选找矿靶区并开展工程验证，实现钴资源增储。</w:t>
      </w:r>
    </w:p>
    <w:p w14:paraId="66621909">
      <w:pPr>
        <w:pStyle w:val="10"/>
        <w:snapToGrid/>
        <w:ind w:firstLine="634"/>
        <w:rPr>
          <w:rFonts w:ascii="Times New Roman" w:hAnsi="Times New Roman"/>
        </w:rPr>
      </w:pPr>
      <w:r>
        <w:rPr>
          <w:rFonts w:hint="eastAsia" w:ascii="Times New Roman" w:hAnsi="Times New Roman"/>
          <w:b/>
          <w:bCs/>
        </w:rPr>
        <w:t>关键指标：</w:t>
      </w:r>
    </w:p>
    <w:p w14:paraId="5C6767BA">
      <w:pPr>
        <w:pStyle w:val="10"/>
        <w:snapToGrid/>
        <w:ind w:firstLine="640"/>
        <w:rPr>
          <w:rFonts w:ascii="Times New Roman" w:hAnsi="Times New Roman"/>
          <w:spacing w:val="0"/>
          <w:kern w:val="2"/>
          <w:lang w:eastAsia="zh-Hans"/>
        </w:rPr>
      </w:pPr>
      <w:r>
        <w:rPr>
          <w:rFonts w:hint="eastAsia" w:ascii="Times New Roman" w:hAnsi="Times New Roman"/>
          <w:spacing w:val="0"/>
          <w:kern w:val="2"/>
          <w:lang w:eastAsia="zh-Hans"/>
        </w:rPr>
        <w:t>建立岩浆型和热液型富钴矿床钴赋存状态数据集1套；查明岩浆型和热液型富钴矿床多样性的关键控制因素，建立成矿模式和找矿预测模型2套；构建野外半定量+室内可视化定量快速评价技术方法组合1套；编制新疆北部重要成矿带富钴矿床分布图、成矿规律和成矿预测图（1∶50万）1套；综合评价北疆地区钴矿资源潜力，提交钴矿远景区3-4处，找矿靶区2-3处，预测潜在矿产资源钴2万吨，新增推断资源量钴5000吨；发表论文10-12篇，授权发明专利1-2项、登记软件著作权1-2项；培养硕博研究生4-6人，晋升副高级职称2-3人。</w:t>
      </w:r>
    </w:p>
    <w:p w14:paraId="06033546">
      <w:pPr>
        <w:pStyle w:val="3"/>
        <w:spacing w:before="0" w:after="0" w:line="560" w:lineRule="exact"/>
        <w:ind w:firstLine="656"/>
        <w:contextualSpacing/>
        <w:rPr>
          <w:rStyle w:val="15"/>
          <w:rFonts w:ascii="Times New Roman" w:hAnsi="Times New Roman" w:eastAsia="方正楷体_GBK"/>
          <w:b w:val="0"/>
          <w:bCs/>
        </w:rPr>
      </w:pPr>
      <w:bookmarkStart w:id="10" w:name="_Toc196728681"/>
      <w:r>
        <w:rPr>
          <w:rStyle w:val="15"/>
          <w:rFonts w:hint="eastAsia" w:ascii="Times New Roman" w:hAnsi="Times New Roman" w:eastAsia="方正楷体_GBK"/>
          <w:b w:val="0"/>
          <w:bCs/>
        </w:rPr>
        <w:t>（三）新疆铟镉等伴生关键金属富集机制及综合利用</w:t>
      </w:r>
      <w:bookmarkEnd w:id="10"/>
    </w:p>
    <w:p w14:paraId="441F64B8">
      <w:pPr>
        <w:pStyle w:val="10"/>
        <w:snapToGrid/>
        <w:ind w:firstLine="634"/>
        <w:rPr>
          <w:rFonts w:ascii="Times New Roman" w:hAnsi="Times New Roman"/>
        </w:rPr>
      </w:pPr>
      <w:r>
        <w:rPr>
          <w:rFonts w:hint="eastAsia" w:ascii="Times New Roman" w:hAnsi="Times New Roman"/>
          <w:b/>
          <w:bCs/>
        </w:rPr>
        <w:t>主要研究内容：</w:t>
      </w:r>
    </w:p>
    <w:p w14:paraId="0367B9B8">
      <w:pPr>
        <w:pStyle w:val="10"/>
        <w:snapToGrid/>
        <w:ind w:firstLine="640"/>
        <w:rPr>
          <w:rFonts w:ascii="Times New Roman" w:hAnsi="Times New Roman"/>
          <w:spacing w:val="0"/>
          <w:kern w:val="2"/>
          <w:lang w:eastAsia="zh-Hans"/>
        </w:rPr>
      </w:pPr>
      <w:r>
        <w:rPr>
          <w:rFonts w:hint="eastAsia" w:ascii="Times New Roman" w:hAnsi="Times New Roman"/>
          <w:spacing w:val="0"/>
          <w:kern w:val="2"/>
          <w:lang w:eastAsia="zh-Hans"/>
        </w:rPr>
        <w:t>聚焦新疆铜铅锌成矿带中伴生铟、镉等关键金属资源，开展新疆重点成矿带开展区域成矿地质背景对比分析，明确铜铅锌矿床中铟、镉等伴生资源的富集主控因素（如岩浆活动、构造演化、围岩性质等）；系统查明铟、镉等关键金属在铜铅锌主矿体中的赋存形式、空间分布规律及迁移-沉淀动力学过程；揭示铟镉元素在特定成矿环境中的超常富集机制，构建“主金属-伴生关键金属”协同成矿模型和资源潜力定量评价模型，科学预测新疆铟镉超常富集区资源储量；研发高效分离与绿色提取技术，突破低品位伴生资源回收率低、污染高的技术瓶颈；在重点矿区开展“采矿-选矿-冶金-产品化”全流程示范，实现产品级铟镉金属（≥99.99%）及其化合物（如氧化铟锡靶材）产出；构建铟镉“勘查-开采-冶炼-深加工”一体化产业链，助力新疆战略性新兴产业集群发展。</w:t>
      </w:r>
    </w:p>
    <w:p w14:paraId="3D4C7746">
      <w:pPr>
        <w:pStyle w:val="10"/>
        <w:snapToGrid/>
        <w:ind w:firstLine="634"/>
        <w:rPr>
          <w:rFonts w:ascii="Times New Roman" w:hAnsi="Times New Roman"/>
        </w:rPr>
      </w:pPr>
      <w:r>
        <w:rPr>
          <w:rFonts w:hint="eastAsia" w:ascii="Times New Roman" w:hAnsi="Times New Roman"/>
          <w:b/>
          <w:bCs/>
        </w:rPr>
        <w:t>关键指标：</w:t>
      </w:r>
    </w:p>
    <w:p w14:paraId="39889172">
      <w:pPr>
        <w:pStyle w:val="10"/>
        <w:snapToGrid/>
        <w:ind w:firstLine="640"/>
        <w:rPr>
          <w:rFonts w:ascii="Times New Roman" w:hAnsi="Times New Roman"/>
          <w:spacing w:val="0"/>
          <w:kern w:val="2"/>
          <w:lang w:eastAsia="zh-Hans"/>
        </w:rPr>
      </w:pPr>
      <w:r>
        <w:rPr>
          <w:rFonts w:hint="eastAsia" w:ascii="Times New Roman" w:hAnsi="Times New Roman"/>
          <w:spacing w:val="0"/>
          <w:kern w:val="2"/>
          <w:lang w:eastAsia="zh-Hans"/>
        </w:rPr>
        <w:t>建立新疆铟、镉资源基础数据库1个；研发新疆铟、镉成矿模型各1套；提交1:150万新疆铟、镉成矿规律与成矿预测图1套；开发铟镉绿色选冶新工艺1项（铟镉综合回收率：铟≥85%，镉≥90%）；提交铟、镉找矿靶区3-5处，预测潜在资源量铟≥100吨、资源量镉≥1000吨，提交推断资源量铟≥10吨、镉≥100吨；开展铟镉等勘查-选冶工程示范，实现高端新材料铟镉产品（99.99%）；授权发明专利2-3项，培养硕博研究生6-8人，发表论文20篇。</w:t>
      </w:r>
    </w:p>
    <w:p w14:paraId="47409429">
      <w:pPr>
        <w:pStyle w:val="3"/>
        <w:spacing w:before="0" w:after="0" w:line="560" w:lineRule="exact"/>
        <w:ind w:firstLine="656"/>
        <w:contextualSpacing/>
        <w:rPr>
          <w:rStyle w:val="15"/>
          <w:rFonts w:ascii="Times New Roman" w:hAnsi="Times New Roman" w:eastAsia="方正楷体_GBK"/>
          <w:b w:val="0"/>
          <w:bCs/>
        </w:rPr>
      </w:pPr>
      <w:bookmarkStart w:id="11" w:name="_Toc196728682"/>
      <w:r>
        <w:rPr>
          <w:rStyle w:val="15"/>
          <w:rFonts w:hint="eastAsia" w:ascii="Times New Roman" w:hAnsi="Times New Roman" w:eastAsia="方正楷体_GBK"/>
          <w:b w:val="0"/>
          <w:bCs/>
        </w:rPr>
        <w:t>（四）</w:t>
      </w:r>
      <w:bookmarkEnd w:id="11"/>
      <w:r>
        <w:rPr>
          <w:rStyle w:val="15"/>
          <w:rFonts w:hint="eastAsia" w:ascii="Times New Roman" w:hAnsi="Times New Roman" w:eastAsia="方正楷体_GBK"/>
          <w:b w:val="0"/>
          <w:bCs/>
        </w:rPr>
        <w:t>战略性非金属矿产硼、沸石等资源高效勘查与高值化利用示范</w:t>
      </w:r>
    </w:p>
    <w:p w14:paraId="1380C941">
      <w:pPr>
        <w:pStyle w:val="10"/>
        <w:autoSpaceDE w:val="0"/>
        <w:snapToGrid/>
        <w:ind w:firstLine="634"/>
        <w:rPr>
          <w:rFonts w:ascii="Times New Roman" w:hAnsi="Times New Roman"/>
        </w:rPr>
      </w:pPr>
      <w:r>
        <w:rPr>
          <w:rFonts w:hint="eastAsia" w:ascii="Times New Roman" w:hAnsi="Times New Roman"/>
          <w:b/>
          <w:bCs/>
        </w:rPr>
        <w:t>主要研究内容：</w:t>
      </w:r>
    </w:p>
    <w:p w14:paraId="4EB58CB7">
      <w:pPr>
        <w:pStyle w:val="10"/>
        <w:autoSpaceDE w:val="0"/>
        <w:snapToGrid/>
        <w:ind w:firstLine="640"/>
        <w:rPr>
          <w:rFonts w:ascii="Times New Roman" w:hAnsi="Times New Roman"/>
          <w:spacing w:val="0"/>
          <w:kern w:val="2"/>
          <w:lang w:eastAsia="zh-Hans"/>
        </w:rPr>
      </w:pPr>
      <w:r>
        <w:rPr>
          <w:rFonts w:hint="eastAsia" w:ascii="Times New Roman" w:hAnsi="Times New Roman"/>
          <w:spacing w:val="0"/>
          <w:kern w:val="2"/>
          <w:lang w:eastAsia="zh-Hans"/>
        </w:rPr>
        <w:t>开展新疆重要成矿区带战略非金属硼、沸石矿床解剖，研究构造、物源、以及后期改造作用对矿床形成的关键控制作用；揭示火山岩型硼矿中富硼流体形成条件与控制因素、硼沉淀物理化学条件与快速卸载机制，阐明成因关系和关键控制因素，建立成矿模式；研究沸石与火山活动、沉积环境、变质作用及流体化学条件之间的关系；研究硅硼钙石赋存状态，开展不同资源禀赋硼矿高效经济提取；研发磁总场及梯度场结合的硼矿示矿磁异常提取技术，解决火山岩型硼矿找矿靶区快速圈定难题；开发强切割地形下战略非金属矿的高分辨无人机探测和矿体智能识别系统，构建适用于古代盐湖卤水型硼矿地-井电阻率精细成像技术，集成隐伏战略非金属矿矿体的精确定位技术；建立找矿标志体系和找矿预测模型，圈定找矿靶区，实施钻探验证，开展硼、沸石矿及共伴生矿产增储示范。</w:t>
      </w:r>
    </w:p>
    <w:p w14:paraId="25E43AF9">
      <w:pPr>
        <w:pStyle w:val="10"/>
        <w:snapToGrid/>
        <w:ind w:firstLine="634"/>
        <w:rPr>
          <w:rFonts w:ascii="Times New Roman" w:hAnsi="Times New Roman"/>
        </w:rPr>
      </w:pPr>
      <w:r>
        <w:rPr>
          <w:rFonts w:hint="eastAsia" w:ascii="Times New Roman" w:hAnsi="Times New Roman"/>
          <w:b/>
          <w:bCs/>
        </w:rPr>
        <w:t>关键指标：</w:t>
      </w:r>
    </w:p>
    <w:p w14:paraId="3FB72AEA">
      <w:pPr>
        <w:pStyle w:val="10"/>
        <w:snapToGrid/>
        <w:ind w:firstLine="640"/>
        <w:rPr>
          <w:rFonts w:ascii="Times New Roman" w:hAnsi="Times New Roman"/>
          <w:spacing w:val="0"/>
          <w:kern w:val="2"/>
          <w:lang w:eastAsia="zh-Hans"/>
        </w:rPr>
      </w:pPr>
      <w:r>
        <w:rPr>
          <w:rFonts w:hint="eastAsia" w:ascii="Times New Roman" w:hAnsi="Times New Roman"/>
          <w:spacing w:val="0"/>
          <w:kern w:val="2"/>
          <w:lang w:eastAsia="zh-Hans"/>
        </w:rPr>
        <w:t>揭示不同矿床类型硼、沸石矿成因机理；建立硼、沸石矿床资源评价技术体系2-3套，构建基于地球物理技术的高效勘查方法组合2-3套；提交硼矿找矿靶区1-2处、沸石矿找矿靶区1-2处，提交可供进一步勘查的硼、沸石勘查区2-3处；评价主要成矿区带硼、沸石矿成矿潜力，预测硼矿潜在资源50万吨、沸石矿潜在资源5000万吨；实施验证钻探工程累计进尺5000m，提交推断资源量硼矿10万吨、沸石1000万吨；研发针对不同资源禀赋的硼矿的提取技术体系，实现B</w:t>
      </w:r>
      <w:r>
        <w:rPr>
          <w:rFonts w:hint="eastAsia" w:ascii="Times New Roman" w:hAnsi="Times New Roman"/>
          <w:spacing w:val="0"/>
          <w:kern w:val="2"/>
          <w:vertAlign w:val="subscript"/>
          <w:lang w:eastAsia="zh-Hans"/>
        </w:rPr>
        <w:t>2</w:t>
      </w:r>
      <w:r>
        <w:rPr>
          <w:rFonts w:hint="eastAsia" w:ascii="Times New Roman" w:hAnsi="Times New Roman"/>
          <w:spacing w:val="0"/>
          <w:kern w:val="2"/>
          <w:lang w:eastAsia="zh-Hans"/>
        </w:rPr>
        <w:t>O</w:t>
      </w:r>
      <w:r>
        <w:rPr>
          <w:rFonts w:hint="eastAsia" w:ascii="Times New Roman" w:hAnsi="Times New Roman"/>
          <w:spacing w:val="0"/>
          <w:kern w:val="2"/>
          <w:vertAlign w:val="subscript"/>
          <w:lang w:eastAsia="zh-Hans"/>
        </w:rPr>
        <w:t>3</w:t>
      </w:r>
      <w:r>
        <w:rPr>
          <w:rFonts w:hint="eastAsia" w:ascii="Times New Roman" w:hAnsi="Times New Roman"/>
          <w:spacing w:val="0"/>
          <w:kern w:val="2"/>
          <w:lang w:eastAsia="zh-Hans"/>
        </w:rPr>
        <w:t>回收率≥90%；发表学术论文20篇，授权发明专利5项、登记软件著作权2个；培养硕博研究生10-15人。</w:t>
      </w:r>
    </w:p>
    <w:p w14:paraId="70F61F48">
      <w:pPr>
        <w:pStyle w:val="3"/>
        <w:spacing w:before="0" w:after="0" w:line="560" w:lineRule="exact"/>
        <w:ind w:firstLine="656"/>
        <w:contextualSpacing/>
        <w:rPr>
          <w:rStyle w:val="15"/>
          <w:rFonts w:ascii="Times New Roman" w:hAnsi="Times New Roman" w:eastAsia="方正楷体_GBK"/>
          <w:b w:val="0"/>
          <w:bCs/>
        </w:rPr>
      </w:pPr>
      <w:bookmarkStart w:id="12" w:name="_Toc196728683"/>
      <w:r>
        <w:rPr>
          <w:rStyle w:val="15"/>
          <w:rFonts w:hint="eastAsia" w:ascii="Times New Roman" w:hAnsi="Times New Roman" w:eastAsia="方正楷体_GBK"/>
          <w:b w:val="0"/>
          <w:bCs/>
        </w:rPr>
        <w:t>（五）</w:t>
      </w:r>
      <w:bookmarkEnd w:id="12"/>
      <w:r>
        <w:rPr>
          <w:rStyle w:val="15"/>
          <w:rFonts w:hint="eastAsia" w:ascii="Times New Roman" w:hAnsi="Times New Roman" w:eastAsia="方正楷体_GBK"/>
          <w:b w:val="0"/>
          <w:bCs/>
        </w:rPr>
        <w:t>新疆铜镍多金属矿时间域航空电磁/磁快速勘查关键技术研究与应用示范</w:t>
      </w:r>
    </w:p>
    <w:p w14:paraId="2D1B09EA">
      <w:pPr>
        <w:pStyle w:val="10"/>
        <w:snapToGrid/>
        <w:ind w:firstLine="634"/>
        <w:rPr>
          <w:rFonts w:ascii="Times New Roman" w:hAnsi="Times New Roman"/>
        </w:rPr>
      </w:pPr>
      <w:r>
        <w:rPr>
          <w:rFonts w:hint="eastAsia" w:ascii="Times New Roman" w:hAnsi="Times New Roman"/>
          <w:b/>
          <w:bCs/>
        </w:rPr>
        <w:t>主要研究内容：</w:t>
      </w:r>
    </w:p>
    <w:p w14:paraId="01581A1F">
      <w:pPr>
        <w:pStyle w:val="10"/>
        <w:snapToGrid/>
        <w:ind w:firstLine="640"/>
        <w:rPr>
          <w:rFonts w:ascii="Times New Roman" w:hAnsi="Times New Roman"/>
          <w:spacing w:val="0"/>
          <w:kern w:val="2"/>
          <w:lang w:eastAsia="zh-Hans"/>
        </w:rPr>
      </w:pPr>
      <w:r>
        <w:rPr>
          <w:rFonts w:hint="eastAsia" w:ascii="Times New Roman" w:hAnsi="Times New Roman"/>
          <w:spacing w:val="0"/>
          <w:kern w:val="2"/>
          <w:lang w:eastAsia="zh-Hans"/>
        </w:rPr>
        <w:t>聚焦新疆特殊地形地貌区实用化时间域航空电磁一体化勘查技术装备研发与应用不足，研制直升机/无人机时间域航空电磁/磁综合测量系统工程样机，攻关大磁矩快关断梯形波脉冲发射、轻量化高动态稳定性软吊挂、电磁/磁信号高速同步采集等关键技术；优选铜镍多金属矿成矿有利区带，开展直升机/无人机时间域航空电磁/磁一体化勘查技术应用示范；攻关航空电磁数据去噪与校正、矿致异常识别、多源数据融合等关键技术，编制空-地-井电磁测量方法技术指南，建立空-地-井地球物理（重磁电震）多参数找矿标志；开展重磁电震数据联合解释，优选找矿有利区；提取铜镍矿重要成矿区带关键控矿要素，分析铜镍矿地球物理矿致异常成因机制，探索建立铜镍多金属矿成矿模式。通过“科技研发-应用示范-找矿突破”结合，为国家能源资源安全保障提供科技支撑。</w:t>
      </w:r>
    </w:p>
    <w:p w14:paraId="2BEECF03">
      <w:pPr>
        <w:pStyle w:val="10"/>
        <w:snapToGrid/>
        <w:ind w:firstLine="634"/>
        <w:rPr>
          <w:rFonts w:ascii="Times New Roman" w:hAnsi="Times New Roman"/>
        </w:rPr>
      </w:pPr>
      <w:r>
        <w:rPr>
          <w:rFonts w:hint="eastAsia" w:ascii="Times New Roman" w:hAnsi="Times New Roman"/>
          <w:b/>
          <w:bCs/>
        </w:rPr>
        <w:t>关键指标：</w:t>
      </w:r>
    </w:p>
    <w:p w14:paraId="03885EF7">
      <w:pPr>
        <w:pStyle w:val="10"/>
        <w:snapToGrid/>
        <w:ind w:firstLine="640"/>
        <w:rPr>
          <w:rFonts w:ascii="Times New Roman" w:hAnsi="Times New Roman"/>
          <w:spacing w:val="0"/>
          <w:kern w:val="2"/>
          <w:lang w:eastAsia="zh-Hans"/>
        </w:rPr>
      </w:pPr>
      <w:r>
        <w:rPr>
          <w:rFonts w:hint="eastAsia" w:ascii="Times New Roman" w:hAnsi="Times New Roman"/>
          <w:spacing w:val="0"/>
          <w:kern w:val="2"/>
          <w:lang w:eastAsia="zh-Hans"/>
        </w:rPr>
        <w:t>研制实用化直升机/无人机时间域航空电磁/磁综合测量系统1套，峰值发射磁矩≥65万A·m2，峰值发射电流≥500A，接收带宽≥50kHz，发射电流、电磁三分量全波形数据采集分辨率24bit，采样率200kHz；高原型软吊挂装置总重量≤400kg；系统单架次续航时间≥3小时；开发时间域航空电磁数据去噪与校正、矿致异常信息提取、多源数据融合等数据处理软件模块不少于6个；示范区不少于2处，飞行测量工作量不少于1000km，航空电磁数据动态噪声水平优于±0.5nT/s，航磁数据动态噪声水平80pT以下数据占90%以上；编制直升机时间域航空电磁/磁综合测量方法技术指南1份；建立新疆铜镍多金属矿空-地-井地球物理找矿标志1套；提交找矿有利区2-3处；建立新疆铜镍多金属矿典型矿床物性数据库不少于2个；建立典型矿床地质模型不少于2个；建立铜镍多金属矿成矿模式1套；授权发明专利2-3项、登记软件著作权2-3项。</w:t>
      </w:r>
    </w:p>
    <w:p w14:paraId="21AFE38A">
      <w:pPr>
        <w:pStyle w:val="3"/>
        <w:spacing w:before="0" w:after="0" w:line="560" w:lineRule="exact"/>
        <w:ind w:firstLine="656"/>
        <w:contextualSpacing/>
        <w:rPr>
          <w:rStyle w:val="15"/>
          <w:rFonts w:ascii="Times New Roman" w:hAnsi="Times New Roman" w:eastAsia="方正楷体_GBK"/>
          <w:b w:val="0"/>
          <w:bCs/>
        </w:rPr>
      </w:pPr>
      <w:bookmarkStart w:id="13" w:name="_Toc196728686"/>
      <w:r>
        <w:rPr>
          <w:rStyle w:val="15"/>
          <w:rFonts w:hint="eastAsia" w:ascii="Times New Roman" w:hAnsi="Times New Roman" w:eastAsia="方正楷体_GBK"/>
          <w:b w:val="0"/>
          <w:bCs/>
        </w:rPr>
        <w:t>（六）</w:t>
      </w:r>
      <w:bookmarkEnd w:id="13"/>
      <w:r>
        <w:rPr>
          <w:rStyle w:val="15"/>
          <w:rFonts w:hint="eastAsia" w:ascii="Times New Roman" w:hAnsi="Times New Roman" w:eastAsia="方正楷体_GBK"/>
          <w:b w:val="0"/>
          <w:bCs/>
        </w:rPr>
        <w:t>新疆玻陶级锂辉石绿色工艺关键技术研发与应用示范</w:t>
      </w:r>
    </w:p>
    <w:p w14:paraId="73B8F0FF">
      <w:pPr>
        <w:pStyle w:val="10"/>
        <w:snapToGrid/>
        <w:ind w:firstLine="634"/>
        <w:rPr>
          <w:rFonts w:ascii="Times New Roman" w:hAnsi="Times New Roman"/>
        </w:rPr>
      </w:pPr>
      <w:r>
        <w:rPr>
          <w:rFonts w:hint="eastAsia" w:ascii="Times New Roman" w:hAnsi="Times New Roman"/>
          <w:b/>
          <w:bCs/>
        </w:rPr>
        <w:t>主要研究内容：</w:t>
      </w:r>
    </w:p>
    <w:p w14:paraId="19025040">
      <w:pPr>
        <w:pStyle w:val="10"/>
        <w:snapToGrid/>
        <w:ind w:firstLine="640"/>
        <w:rPr>
          <w:rFonts w:ascii="Times New Roman" w:hAnsi="Times New Roman"/>
          <w:spacing w:val="0"/>
          <w:kern w:val="2"/>
          <w:lang w:eastAsia="zh-Hans"/>
        </w:rPr>
      </w:pPr>
      <w:r>
        <w:rPr>
          <w:rFonts w:hint="eastAsia" w:ascii="Times New Roman" w:hAnsi="Times New Roman"/>
          <w:spacing w:val="0"/>
          <w:kern w:val="2"/>
          <w:lang w:eastAsia="zh-Hans"/>
        </w:rPr>
        <w:t>以新疆和田县大红柳滩花岗伟晶岩型锂辉石矿为研究对象，围绕"资源特性解析—关键技术创新—产业化应用"三大主线，开展矿物赋存机理与工艺矿物学特征研究，构建三维矿物嵌布模型，深度表征矿石物理化学性质，揭示锂元素迁移富集规律和结晶演化机制；通过多尺度、多元力场磨前抛废预富集试验研究，开发基于深度学习的三维矿石块度识别算法，实现10-300mm粒级矿石精准分选，构建矿石光电特性数据库，建立"密度-成分-光谱"多维分选模型，控制产品粒度P80≤6mm；开发高通量、高富集比重介质选别锂辉石技术，悬浮液稳定性提升至8小时以上；研发±0.05g/cm</w:t>
      </w:r>
      <w:r>
        <w:rPr>
          <w:rFonts w:hint="eastAsia" w:ascii="Times New Roman" w:hAnsi="Times New Roman"/>
          <w:spacing w:val="0"/>
          <w:kern w:val="2"/>
          <w:vertAlign w:val="superscript"/>
          <w:lang w:eastAsia="zh-Hans"/>
        </w:rPr>
        <w:t>3</w:t>
      </w:r>
      <w:r>
        <w:rPr>
          <w:rFonts w:hint="eastAsia" w:ascii="Times New Roman" w:hAnsi="Times New Roman"/>
          <w:spacing w:val="0"/>
          <w:kern w:val="2"/>
          <w:lang w:eastAsia="zh-Hans"/>
        </w:rPr>
        <w:t>动态调控精度多力场协同分选关键技术，构建多级联动破碎回路，提升锂辉石单体解离度75%以上；集成开发"电磁场-流体力场-界面化学场-机械力场"多场耦合杂质深度分离技术，建成新疆首条玻陶级锂辉石绿色智能生产线示范工程，推动锂辉石提纯从"粗放式全流程处理"向"精准化靶向提纯"转型升级，树立绿色矿山技术新标杆。</w:t>
      </w:r>
    </w:p>
    <w:p w14:paraId="08CD6ECF">
      <w:pPr>
        <w:pStyle w:val="10"/>
        <w:snapToGrid/>
        <w:ind w:firstLine="634"/>
        <w:rPr>
          <w:rFonts w:ascii="Times New Roman" w:hAnsi="Times New Roman"/>
        </w:rPr>
      </w:pPr>
      <w:r>
        <w:rPr>
          <w:rFonts w:hint="eastAsia" w:ascii="Times New Roman" w:hAnsi="Times New Roman"/>
          <w:b/>
          <w:bCs/>
        </w:rPr>
        <w:t>关键指标：</w:t>
      </w:r>
    </w:p>
    <w:p w14:paraId="4C20C095">
      <w:pPr>
        <w:pStyle w:val="10"/>
        <w:snapToGrid/>
        <w:ind w:firstLine="640"/>
        <w:rPr>
          <w:rFonts w:ascii="Times New Roman" w:hAnsi="Times New Roman"/>
          <w:spacing w:val="0"/>
          <w:kern w:val="2"/>
          <w:lang w:eastAsia="zh-Hans"/>
        </w:rPr>
      </w:pPr>
      <w:r>
        <w:rPr>
          <w:rFonts w:hint="eastAsia" w:ascii="Times New Roman" w:hAnsi="Times New Roman"/>
          <w:spacing w:val="0"/>
          <w:kern w:val="2"/>
          <w:lang w:eastAsia="zh-Hans"/>
        </w:rPr>
        <w:t>开发花岗伟晶岩型锂资源高通量、高富集比新型锂辉石重介质选别技术，实现锂金属富集比达3.5以上；开发花岗伟晶岩型锂资源短流程高效率制备玻陶级锂辉石的多场协同分选技术1套，获得锂辉石粗精矿品位在6%以上；开发多元杂质深度分离与玻陶级锂辉石产品制备关键技术1套，进一步提升锂辉石精矿品位，降低锂辉石精矿杂质含量，其中Fe</w:t>
      </w:r>
      <w:r>
        <w:rPr>
          <w:rFonts w:hint="eastAsia" w:ascii="Times New Roman" w:hAnsi="Times New Roman"/>
          <w:spacing w:val="0"/>
          <w:kern w:val="2"/>
          <w:vertAlign w:val="subscript"/>
          <w:lang w:eastAsia="zh-Hans"/>
        </w:rPr>
        <w:t>2</w:t>
      </w:r>
      <w:r>
        <w:rPr>
          <w:rFonts w:hint="eastAsia" w:ascii="Times New Roman" w:hAnsi="Times New Roman"/>
          <w:spacing w:val="0"/>
          <w:kern w:val="2"/>
          <w:lang w:eastAsia="zh-Hans"/>
        </w:rPr>
        <w:t>O</w:t>
      </w:r>
      <w:r>
        <w:rPr>
          <w:rFonts w:hint="eastAsia" w:ascii="Times New Roman" w:hAnsi="Times New Roman"/>
          <w:spacing w:val="0"/>
          <w:kern w:val="2"/>
          <w:vertAlign w:val="subscript"/>
          <w:lang w:eastAsia="zh-Hans"/>
        </w:rPr>
        <w:t>3</w:t>
      </w:r>
      <w:r>
        <w:rPr>
          <w:rFonts w:hint="eastAsia" w:ascii="Times New Roman" w:hAnsi="Times New Roman"/>
          <w:spacing w:val="0"/>
          <w:kern w:val="2"/>
          <w:lang w:eastAsia="zh-Hans"/>
        </w:rPr>
        <w:t>含量≤0.6%，Na</w:t>
      </w:r>
      <w:r>
        <w:rPr>
          <w:rFonts w:hint="eastAsia" w:ascii="Times New Roman" w:hAnsi="Times New Roman"/>
          <w:spacing w:val="0"/>
          <w:kern w:val="2"/>
          <w:vertAlign w:val="subscript"/>
          <w:lang w:eastAsia="zh-Hans"/>
        </w:rPr>
        <w:t>2</w:t>
      </w:r>
      <w:r>
        <w:rPr>
          <w:rFonts w:hint="eastAsia" w:ascii="Times New Roman" w:hAnsi="Times New Roman"/>
          <w:spacing w:val="0"/>
          <w:kern w:val="2"/>
          <w:lang w:eastAsia="zh-Hans"/>
        </w:rPr>
        <w:t>O+K</w:t>
      </w:r>
      <w:r>
        <w:rPr>
          <w:rFonts w:hint="eastAsia" w:ascii="Times New Roman" w:hAnsi="Times New Roman"/>
          <w:spacing w:val="0"/>
          <w:kern w:val="2"/>
          <w:vertAlign w:val="subscript"/>
          <w:lang w:eastAsia="zh-Hans"/>
        </w:rPr>
        <w:t>2</w:t>
      </w:r>
      <w:r>
        <w:rPr>
          <w:rFonts w:hint="eastAsia" w:ascii="Times New Roman" w:hAnsi="Times New Roman"/>
          <w:spacing w:val="0"/>
          <w:kern w:val="2"/>
          <w:lang w:eastAsia="zh-Hans"/>
        </w:rPr>
        <w:t>O含量≤1.8%，P</w:t>
      </w:r>
      <w:r>
        <w:rPr>
          <w:rFonts w:hint="eastAsia" w:ascii="Times New Roman" w:hAnsi="Times New Roman"/>
          <w:spacing w:val="0"/>
          <w:kern w:val="2"/>
          <w:vertAlign w:val="subscript"/>
          <w:lang w:eastAsia="zh-Hans"/>
        </w:rPr>
        <w:t>2</w:t>
      </w:r>
      <w:r>
        <w:rPr>
          <w:rFonts w:hint="eastAsia" w:ascii="Times New Roman" w:hAnsi="Times New Roman"/>
          <w:spacing w:val="0"/>
          <w:kern w:val="2"/>
          <w:lang w:eastAsia="zh-Hans"/>
        </w:rPr>
        <w:t>O</w:t>
      </w:r>
      <w:r>
        <w:rPr>
          <w:rFonts w:hint="eastAsia" w:ascii="Times New Roman" w:hAnsi="Times New Roman"/>
          <w:spacing w:val="0"/>
          <w:kern w:val="2"/>
          <w:vertAlign w:val="subscript"/>
          <w:lang w:eastAsia="zh-Hans"/>
        </w:rPr>
        <w:t>5</w:t>
      </w:r>
      <w:r>
        <w:rPr>
          <w:rFonts w:hint="eastAsia" w:ascii="Times New Roman" w:hAnsi="Times New Roman"/>
          <w:spacing w:val="0"/>
          <w:kern w:val="2"/>
          <w:lang w:eastAsia="zh-Hans"/>
        </w:rPr>
        <w:t>含量≤0.5%，MnO≤0.25%；建设玻陶级锂辉石智能化示范生产线1-2条，形成年产10万吨以上玻陶级锂精矿产能体系；发表论文5-8篇，授权发明专利4-6项；培养硕博研究生4-6人，晋升副高级职称2-3人。</w:t>
      </w:r>
    </w:p>
    <w:p w14:paraId="1F88F59D">
      <w:pPr>
        <w:pStyle w:val="3"/>
        <w:spacing w:before="0" w:after="0" w:line="560" w:lineRule="exact"/>
        <w:ind w:firstLine="656"/>
        <w:contextualSpacing/>
        <w:rPr>
          <w:rStyle w:val="15"/>
          <w:rFonts w:ascii="Times New Roman" w:hAnsi="Times New Roman" w:eastAsia="方正楷体_GBK"/>
          <w:b w:val="0"/>
          <w:bCs/>
        </w:rPr>
      </w:pPr>
      <w:bookmarkStart w:id="14" w:name="_Toc196728687"/>
      <w:r>
        <w:rPr>
          <w:rStyle w:val="15"/>
          <w:rFonts w:hint="eastAsia" w:ascii="Times New Roman" w:hAnsi="Times New Roman" w:eastAsia="方正楷体_GBK"/>
          <w:b w:val="0"/>
          <w:bCs/>
        </w:rPr>
        <w:t>（七）</w:t>
      </w:r>
      <w:bookmarkEnd w:id="14"/>
      <w:r>
        <w:rPr>
          <w:rStyle w:val="15"/>
          <w:rFonts w:hint="eastAsia" w:ascii="Times New Roman" w:hAnsi="Times New Roman" w:eastAsia="方正楷体_GBK"/>
          <w:b w:val="0"/>
          <w:bCs/>
        </w:rPr>
        <w:t>新疆复杂贵金属资源富氧顶吹造锍捕金绿色智能冶炼关键技术及示范</w:t>
      </w:r>
    </w:p>
    <w:p w14:paraId="64434793">
      <w:pPr>
        <w:pStyle w:val="10"/>
        <w:snapToGrid/>
        <w:ind w:firstLine="634"/>
        <w:rPr>
          <w:rFonts w:ascii="Times New Roman" w:hAnsi="Times New Roman"/>
        </w:rPr>
      </w:pPr>
      <w:r>
        <w:rPr>
          <w:rFonts w:hint="eastAsia" w:ascii="Times New Roman" w:hAnsi="Times New Roman"/>
          <w:b/>
          <w:bCs/>
        </w:rPr>
        <w:t>主要研究内容：</w:t>
      </w:r>
    </w:p>
    <w:p w14:paraId="041DAD72">
      <w:pPr>
        <w:pStyle w:val="10"/>
        <w:snapToGrid/>
        <w:ind w:firstLine="640"/>
        <w:rPr>
          <w:rFonts w:ascii="Times New Roman" w:hAnsi="Times New Roman"/>
          <w:spacing w:val="0"/>
          <w:kern w:val="2"/>
          <w:lang w:eastAsia="zh-Hans"/>
        </w:rPr>
      </w:pPr>
      <w:r>
        <w:rPr>
          <w:rFonts w:hint="eastAsia" w:ascii="Times New Roman" w:hAnsi="Times New Roman"/>
          <w:spacing w:val="0"/>
          <w:kern w:val="2"/>
          <w:lang w:eastAsia="zh-Hans"/>
        </w:rPr>
        <w:t>针对复杂贵金属资源矿石具有高砷、多金属共生、成分波动大和入炉物料稳定性差、贵金属回收率低等关键科学技术难题，建立矿物基因库的热力学仿真模型、研发多元素协同优化算法及动态自适应配矿技术，构建造锍捕金协同冶炼过程智能配矿及工艺决策系统；构建多尺度耦合数字孪生模型，揭示贵金属捕集机制与设备损耗规律，优化氧枪结构、喷吹参数及炉体砌筑工艺，开发基于关键场耦合仿真的顶吹炉造锍捕金强化熔炼及喷枪延寿技术；开展污酸硫化脱砷技术，研制污酸高效硫化深度脱砷技术及装备解决含砷污酸处理存在的共性难题，建成年处理5万吨富氧顶吹造锍捕金绿色智能冶炼技术工程示范，解决黄金行业产生含氰废水、氰化尾渣等危废难题，实现新增产值上十亿元。</w:t>
      </w:r>
    </w:p>
    <w:p w14:paraId="01939621">
      <w:pPr>
        <w:pStyle w:val="10"/>
        <w:snapToGrid/>
        <w:ind w:firstLine="634"/>
        <w:rPr>
          <w:rFonts w:ascii="Times New Roman" w:hAnsi="Times New Roman"/>
        </w:rPr>
      </w:pPr>
      <w:r>
        <w:rPr>
          <w:rFonts w:hint="eastAsia" w:ascii="Times New Roman" w:hAnsi="Times New Roman"/>
          <w:b/>
          <w:bCs/>
        </w:rPr>
        <w:t>关键指标：</w:t>
      </w:r>
    </w:p>
    <w:p w14:paraId="15F32DCF">
      <w:pPr>
        <w:pStyle w:val="10"/>
        <w:snapToGrid/>
        <w:ind w:firstLine="640"/>
        <w:rPr>
          <w:rFonts w:ascii="Times New Roman" w:hAnsi="Times New Roman"/>
          <w:spacing w:val="0"/>
          <w:kern w:val="2"/>
          <w:lang w:eastAsia="zh-Hans"/>
        </w:rPr>
      </w:pPr>
      <w:r>
        <w:rPr>
          <w:rFonts w:hint="eastAsia" w:ascii="Times New Roman" w:hAnsi="Times New Roman"/>
          <w:spacing w:val="0"/>
          <w:kern w:val="2"/>
          <w:lang w:eastAsia="zh-Hans"/>
        </w:rPr>
        <w:t>顶吹熔炼炉实现金精矿处理量≥5万吨/年，金回收率达到95%；顶吹喷枪寿命延长至≥25天，单位产品能耗降低5%；研发含砷污酸高效短流程脱砷装备1套，污酸砷综合脱除率≥99%；形成适配新疆高砷多金属矿的智能配矿软件系统1套；开发顶吹熔炼炉多场耦合仿真模型及预测软件系统1套，模型预测误差≤5%；建成年处理5万吨富氧顶吹造锍捕金绿色智能冶炼技术工程示范1个；授权发明专利3-5项、登记软件著作权3-5项；培养硕博研究生8-10人。</w:t>
      </w:r>
    </w:p>
    <w:p w14:paraId="2D310C0F">
      <w:pPr>
        <w:pStyle w:val="3"/>
        <w:spacing w:before="0" w:after="0" w:line="560" w:lineRule="exact"/>
        <w:ind w:firstLine="656"/>
        <w:contextualSpacing/>
        <w:rPr>
          <w:rStyle w:val="15"/>
          <w:rFonts w:ascii="Times New Roman" w:hAnsi="Times New Roman" w:eastAsia="方正楷体_GBK"/>
          <w:b w:val="0"/>
          <w:bCs/>
        </w:rPr>
      </w:pPr>
      <w:bookmarkStart w:id="15" w:name="_Toc196728688"/>
      <w:r>
        <w:rPr>
          <w:rStyle w:val="15"/>
          <w:rFonts w:hint="eastAsia" w:ascii="Times New Roman" w:hAnsi="Times New Roman" w:eastAsia="方正楷体_GBK"/>
          <w:b w:val="0"/>
          <w:bCs/>
        </w:rPr>
        <w:t>（八）</w:t>
      </w:r>
      <w:bookmarkEnd w:id="15"/>
      <w:r>
        <w:rPr>
          <w:rStyle w:val="15"/>
          <w:rFonts w:hint="eastAsia" w:ascii="Times New Roman" w:hAnsi="Times New Roman" w:eastAsia="方正楷体_GBK"/>
          <w:b w:val="0"/>
          <w:bCs/>
        </w:rPr>
        <w:t>氦-3超低温提取关键技术研究及示范</w:t>
      </w:r>
    </w:p>
    <w:p w14:paraId="4DA860B8">
      <w:pPr>
        <w:pStyle w:val="10"/>
        <w:snapToGrid/>
        <w:ind w:firstLine="634"/>
        <w:rPr>
          <w:rFonts w:ascii="Times New Roman" w:hAnsi="Times New Roman"/>
        </w:rPr>
      </w:pPr>
      <w:r>
        <w:rPr>
          <w:rFonts w:hint="eastAsia" w:ascii="Times New Roman" w:hAnsi="Times New Roman"/>
          <w:b/>
          <w:bCs/>
        </w:rPr>
        <w:t>主要研究内容：</w:t>
      </w:r>
    </w:p>
    <w:p w14:paraId="4F935D0E">
      <w:pPr>
        <w:pStyle w:val="10"/>
        <w:snapToGrid/>
        <w:ind w:firstLine="640"/>
        <w:rPr>
          <w:rFonts w:ascii="Times New Roman" w:hAnsi="Times New Roman"/>
          <w:spacing w:val="0"/>
          <w:kern w:val="2"/>
          <w:lang w:eastAsia="zh-Hans"/>
        </w:rPr>
      </w:pPr>
      <w:r>
        <w:rPr>
          <w:rFonts w:hint="eastAsia" w:ascii="Times New Roman" w:hAnsi="Times New Roman"/>
          <w:spacing w:val="0"/>
          <w:kern w:val="2"/>
          <w:lang w:eastAsia="zh-Hans"/>
        </w:rPr>
        <w:t>围绕氦-3富集、浓缩技术及装备关键科学技术问题，开展基于超低温方法的氦-3分离纯化的可行性研究，建立氦-3超低温分离纯化中的基础物性数据库，阐明氦-3超低温分离纯化中传热、传质、相变机理；构建超流氦富集和低温精馏的氦-3分离纯化系统，集成温度传感器极低温关键核心技术，研发基于极低温用NTC温度传感器，研制极低温NTC温度传感器和超流氦持续发生、富集、精馏装置并系统集成；建设氦-3提取工程示范，探索系统的最佳操作参数，实现自动控制，持续实现氦-3的10000倍以上的氦-3浓度富集。</w:t>
      </w:r>
    </w:p>
    <w:p w14:paraId="6365BAF3">
      <w:pPr>
        <w:pStyle w:val="10"/>
        <w:snapToGrid/>
        <w:ind w:firstLine="634"/>
        <w:rPr>
          <w:rFonts w:ascii="Times New Roman" w:hAnsi="Times New Roman"/>
        </w:rPr>
      </w:pPr>
      <w:r>
        <w:rPr>
          <w:rFonts w:hint="eastAsia" w:ascii="Times New Roman" w:hAnsi="Times New Roman"/>
          <w:b/>
          <w:bCs/>
        </w:rPr>
        <w:t>关键指标：</w:t>
      </w:r>
    </w:p>
    <w:p w14:paraId="50C1E673">
      <w:pPr>
        <w:pStyle w:val="10"/>
        <w:snapToGrid/>
        <w:rPr>
          <w:rFonts w:ascii="Times New Roman" w:hAnsi="Times New Roman"/>
        </w:rPr>
      </w:pPr>
      <w:r>
        <w:rPr>
          <w:rFonts w:hint="eastAsia" w:ascii="Times New Roman" w:hAnsi="Times New Roman"/>
        </w:rPr>
        <w:t>建立氦-3超低温分离纯化中的基础物性数据库1个；构建超流氦富集和低温精馏的氦-3分离纯化系统1个；研制应用于氦-3提取的极低温NTC温度传感器1套；研制超低温法氦-3提取原理性装备1套，最低工作温度≤2K（-271.15℃）；建设氦-3提取工程示范1个，实现输出氦气中氦-3浓度/输入氦气中氦-3浓度≥10000，且氦气总处理量≥1万立方米；发表论文8-10篇，授权发明专利5项；培养硕博研究生6-8人。</w:t>
      </w:r>
    </w:p>
    <w:p w14:paraId="39B2B261">
      <w:pPr>
        <w:pStyle w:val="3"/>
        <w:spacing w:before="0" w:after="0" w:line="560" w:lineRule="exact"/>
        <w:ind w:firstLine="656"/>
        <w:contextualSpacing/>
        <w:rPr>
          <w:rStyle w:val="15"/>
          <w:rFonts w:ascii="Times New Roman" w:hAnsi="Times New Roman" w:eastAsia="方正楷体_GBK"/>
          <w:b w:val="0"/>
          <w:bCs/>
        </w:rPr>
      </w:pPr>
      <w:bookmarkStart w:id="16" w:name="_Toc196728689"/>
      <w:r>
        <w:rPr>
          <w:rStyle w:val="15"/>
          <w:rFonts w:hint="eastAsia" w:ascii="Times New Roman" w:hAnsi="Times New Roman" w:eastAsia="方正楷体_GBK"/>
          <w:b w:val="0"/>
          <w:bCs/>
        </w:rPr>
        <w:t>（九）</w:t>
      </w:r>
      <w:bookmarkEnd w:id="16"/>
      <w:r>
        <w:rPr>
          <w:rStyle w:val="15"/>
          <w:rFonts w:hint="eastAsia" w:ascii="Times New Roman" w:hAnsi="Times New Roman" w:eastAsia="方正楷体_GBK"/>
          <w:b w:val="0"/>
          <w:bCs/>
        </w:rPr>
        <w:t>有机硅废触体高价值组分铜、硅等循环回收利用关键技术研究与应用示范</w:t>
      </w:r>
    </w:p>
    <w:p w14:paraId="1771FC99">
      <w:pPr>
        <w:pStyle w:val="10"/>
        <w:snapToGrid/>
        <w:ind w:firstLine="634"/>
        <w:rPr>
          <w:rFonts w:ascii="Times New Roman" w:hAnsi="Times New Roman"/>
        </w:rPr>
      </w:pPr>
      <w:r>
        <w:rPr>
          <w:rFonts w:hint="eastAsia" w:ascii="Times New Roman" w:hAnsi="Times New Roman"/>
          <w:b/>
          <w:bCs/>
        </w:rPr>
        <w:t>主要研究内容：</w:t>
      </w:r>
    </w:p>
    <w:p w14:paraId="0AF42665">
      <w:pPr>
        <w:pStyle w:val="10"/>
        <w:snapToGrid/>
        <w:ind w:firstLine="640"/>
        <w:rPr>
          <w:rFonts w:ascii="Times New Roman" w:hAnsi="Times New Roman"/>
          <w:spacing w:val="0"/>
          <w:kern w:val="2"/>
          <w:lang w:eastAsia="zh-Hans"/>
        </w:rPr>
      </w:pPr>
      <w:r>
        <w:rPr>
          <w:rFonts w:hint="eastAsia" w:ascii="Times New Roman" w:hAnsi="Times New Roman"/>
          <w:spacing w:val="0"/>
          <w:kern w:val="2"/>
          <w:lang w:eastAsia="zh-Hans"/>
        </w:rPr>
        <w:t>针对废触体铜硅含量高、难处理、传统回收分离工艺复杂且成本高等现状，开发温和的物理氧化辅助化学氧化酸浸新工艺，提升反应装置抗蚀性和废料中金属转化效率；构建多级电解装置，开发高效、抗氯、高选择性铜沉积工艺，集成氧化-电沉积耦合法提取有机硅废触体中高价值铜关键技术；开发常温常压的新型等离子体辅助低浓度酸碱耦合活化工艺，优化硅渣表面有机改性技术，制备纳米级硅基材料，开发高附加值硅基精细化学品材料，研发硅废渣定向制备高值硅基产品关键技术；构建动态调控和优化成套工艺体系，建立1000吨级/年有机硅废触体资源化利用成套工艺及资源化回收绿色示范生产工线，实现高纯度铜回收，电解液良性循环利用，实现废液近零排放。</w:t>
      </w:r>
    </w:p>
    <w:p w14:paraId="537195A1">
      <w:pPr>
        <w:pStyle w:val="10"/>
        <w:snapToGrid/>
        <w:ind w:firstLine="634"/>
        <w:rPr>
          <w:rFonts w:ascii="Times New Roman" w:hAnsi="Times New Roman"/>
        </w:rPr>
      </w:pPr>
      <w:r>
        <w:rPr>
          <w:rFonts w:hint="eastAsia" w:ascii="Times New Roman" w:hAnsi="Times New Roman"/>
          <w:b/>
          <w:bCs/>
        </w:rPr>
        <w:t>关键指标：</w:t>
      </w:r>
    </w:p>
    <w:p w14:paraId="47863062">
      <w:pPr>
        <w:pStyle w:val="10"/>
        <w:snapToGrid/>
        <w:ind w:firstLine="640"/>
        <w:rPr>
          <w:rFonts w:ascii="Times New Roman" w:hAnsi="Times New Roman"/>
          <w:spacing w:val="0"/>
          <w:kern w:val="2"/>
          <w:lang w:eastAsia="zh-Hans"/>
        </w:rPr>
      </w:pPr>
      <w:r>
        <w:rPr>
          <w:rFonts w:hint="eastAsia" w:ascii="Times New Roman" w:hAnsi="Times New Roman"/>
          <w:spacing w:val="0"/>
          <w:kern w:val="2"/>
          <w:lang w:eastAsia="zh-Hans"/>
        </w:rPr>
        <w:t>建立针对有机硅废触体成分波动性监测的在线检测体系，构建快速调控工艺参数的数据库1个，成分分析准确率达到90%以上；开发物理氧化辅助化学氧化的新工艺1个，减少浓酸使用量10-15%；制备铱低负载量的钛基电极板，降低原有贵金属使用量30%，电解槽电压衰变率≤10mV/h，实现该类电极板从800cm</w:t>
      </w:r>
      <w:r>
        <w:rPr>
          <w:rFonts w:hint="eastAsia" w:ascii="Times New Roman" w:hAnsi="Times New Roman"/>
          <w:spacing w:val="0"/>
          <w:kern w:val="2"/>
          <w:vertAlign w:val="superscript"/>
          <w:lang w:eastAsia="zh-Hans"/>
        </w:rPr>
        <w:t>2</w:t>
      </w:r>
      <w:r>
        <w:rPr>
          <w:rFonts w:hint="eastAsia" w:ascii="Times New Roman" w:hAnsi="Times New Roman"/>
          <w:spacing w:val="0"/>
          <w:kern w:val="2"/>
          <w:lang w:eastAsia="zh-Hans"/>
        </w:rPr>
        <w:t>到6000cm</w:t>
      </w:r>
      <w:r>
        <w:rPr>
          <w:rFonts w:hint="eastAsia" w:ascii="Times New Roman" w:hAnsi="Times New Roman"/>
          <w:spacing w:val="0"/>
          <w:kern w:val="2"/>
          <w:vertAlign w:val="superscript"/>
          <w:lang w:eastAsia="zh-Hans"/>
        </w:rPr>
        <w:t>2</w:t>
      </w:r>
      <w:r>
        <w:rPr>
          <w:rFonts w:hint="eastAsia" w:ascii="Times New Roman" w:hAnsi="Times New Roman"/>
          <w:spacing w:val="0"/>
          <w:kern w:val="2"/>
          <w:lang w:eastAsia="zh-Hans"/>
        </w:rPr>
        <w:t>的宏量制备中试实验；开发有机硅废触体“氧化-电沉积”提纯铜的工艺包1个；开发2-3种高附加值硅基材料；建立1000吨级/年有机硅废触体资源化利用成套工艺及资源化回收绿色示范生产工线，实现有机硅废触体中铜元素浸提率≥90%，产品铜纯度达到≥95%，电解装置电流效率≥90%，电解液循环使用，实现废液近零排放；授权发明专利2-4项</w:t>
      </w:r>
      <w:bookmarkStart w:id="17" w:name="_Hlk195879457"/>
      <w:r>
        <w:rPr>
          <w:rFonts w:hint="eastAsia" w:ascii="Times New Roman" w:hAnsi="Times New Roman"/>
          <w:spacing w:val="0"/>
          <w:kern w:val="2"/>
          <w:lang w:eastAsia="zh-Hans"/>
        </w:rPr>
        <w:t>，制定相关技术企业标准1</w:t>
      </w:r>
      <w:bookmarkEnd w:id="17"/>
      <w:r>
        <w:rPr>
          <w:rFonts w:hint="eastAsia" w:ascii="Times New Roman" w:hAnsi="Times New Roman"/>
          <w:spacing w:val="0"/>
          <w:kern w:val="2"/>
          <w:lang w:eastAsia="zh-Hans"/>
        </w:rPr>
        <w:t>项；发表论文5-8篇，培养硕博研究生2-4人，晋升副高级职称4-6人。</w:t>
      </w:r>
    </w:p>
    <w:p w14:paraId="01FAF2DA">
      <w:pPr>
        <w:pStyle w:val="3"/>
        <w:spacing w:before="0" w:after="0" w:line="560" w:lineRule="exact"/>
        <w:ind w:firstLine="656"/>
        <w:contextualSpacing/>
        <w:rPr>
          <w:rStyle w:val="15"/>
          <w:rFonts w:ascii="Times New Roman" w:hAnsi="Times New Roman" w:eastAsia="方正楷体_GBK"/>
          <w:b w:val="0"/>
          <w:bCs/>
        </w:rPr>
      </w:pPr>
      <w:bookmarkStart w:id="18" w:name="_Toc196728690"/>
      <w:r>
        <w:rPr>
          <w:rStyle w:val="15"/>
          <w:rFonts w:hint="eastAsia" w:ascii="Times New Roman" w:hAnsi="Times New Roman" w:eastAsia="方正楷体_GBK"/>
          <w:b w:val="0"/>
          <w:bCs/>
        </w:rPr>
        <w:t>（十）</w:t>
      </w:r>
      <w:bookmarkEnd w:id="18"/>
      <w:r>
        <w:rPr>
          <w:rStyle w:val="15"/>
          <w:rFonts w:hint="eastAsia" w:ascii="Times New Roman" w:hAnsi="Times New Roman" w:eastAsia="方正楷体_GBK"/>
          <w:b w:val="0"/>
          <w:bCs/>
        </w:rPr>
        <w:t>新疆拜城黑英山霞石正长岩资源梯级高效高值利用关键技术研究</w:t>
      </w:r>
    </w:p>
    <w:p w14:paraId="1343411B">
      <w:pPr>
        <w:pStyle w:val="10"/>
        <w:snapToGrid/>
        <w:ind w:firstLine="634"/>
        <w:rPr>
          <w:rFonts w:ascii="Times New Roman" w:hAnsi="Times New Roman"/>
        </w:rPr>
      </w:pPr>
      <w:r>
        <w:rPr>
          <w:rFonts w:hint="eastAsia" w:ascii="Times New Roman" w:hAnsi="Times New Roman"/>
          <w:b/>
          <w:bCs/>
        </w:rPr>
        <w:t>主要研究内容：</w:t>
      </w:r>
    </w:p>
    <w:p w14:paraId="16256D39">
      <w:pPr>
        <w:pStyle w:val="10"/>
        <w:snapToGrid/>
        <w:ind w:firstLine="640"/>
        <w:rPr>
          <w:rFonts w:ascii="Times New Roman" w:hAnsi="Times New Roman"/>
          <w:spacing w:val="0"/>
          <w:kern w:val="2"/>
          <w:lang w:eastAsia="zh-Hans"/>
        </w:rPr>
      </w:pPr>
      <w:r>
        <w:rPr>
          <w:rFonts w:hint="eastAsia" w:ascii="Times New Roman" w:hAnsi="Times New Roman"/>
          <w:spacing w:val="0"/>
          <w:kern w:val="2"/>
          <w:lang w:eastAsia="zh-Hans"/>
        </w:rPr>
        <w:t>聚焦拜城黑英山霞石正长岩选冶梯级高效高值开发利用过程中的核心问题，查明新疆拜城黑英山霞石正长岩资源禀赋特征，构建矿物颗粒界面及结构精准调控方法，揭示特定环境组份迁移规律，开展矿产资源的选冶梯级利用研究，研发适合拜城黑英山霞石正长岩替代铝土矿资源成套绿色高效利用关键技术，建立霞石正长岩资源梯级高效高值利用示范线，研发玻陶级霞石制品，开展详细烧结法Al</w:t>
      </w:r>
      <w:r>
        <w:rPr>
          <w:rFonts w:hint="eastAsia" w:ascii="Times New Roman" w:hAnsi="Times New Roman"/>
          <w:spacing w:val="0"/>
          <w:kern w:val="2"/>
          <w:vertAlign w:val="subscript"/>
          <w:lang w:eastAsia="zh-Hans"/>
        </w:rPr>
        <w:t>2</w:t>
      </w:r>
      <w:r>
        <w:rPr>
          <w:rFonts w:hint="eastAsia" w:ascii="Times New Roman" w:hAnsi="Times New Roman"/>
          <w:spacing w:val="0"/>
          <w:kern w:val="2"/>
          <w:lang w:eastAsia="zh-Hans"/>
        </w:rPr>
        <w:t>O</w:t>
      </w:r>
      <w:r>
        <w:rPr>
          <w:rFonts w:hint="eastAsia" w:ascii="Times New Roman" w:hAnsi="Times New Roman"/>
          <w:spacing w:val="0"/>
          <w:kern w:val="2"/>
          <w:vertAlign w:val="subscript"/>
          <w:lang w:eastAsia="zh-Hans"/>
        </w:rPr>
        <w:t>3</w:t>
      </w:r>
      <w:r>
        <w:rPr>
          <w:rFonts w:hint="eastAsia" w:ascii="Times New Roman" w:hAnsi="Times New Roman"/>
          <w:spacing w:val="0"/>
          <w:kern w:val="2"/>
          <w:lang w:eastAsia="zh-Hans"/>
        </w:rPr>
        <w:t>的可溶性研究，研发制备氧化铝及锂电池涂覆（勃姆石）产品，为霞石正长岩梯级提质及高效高值利用提供支撑。</w:t>
      </w:r>
    </w:p>
    <w:p w14:paraId="34DBE7F8">
      <w:pPr>
        <w:pStyle w:val="10"/>
        <w:snapToGrid/>
        <w:ind w:firstLine="634"/>
        <w:rPr>
          <w:rFonts w:ascii="Times New Roman" w:hAnsi="Times New Roman"/>
        </w:rPr>
      </w:pPr>
      <w:r>
        <w:rPr>
          <w:rFonts w:hint="eastAsia" w:ascii="Times New Roman" w:hAnsi="Times New Roman"/>
          <w:b/>
          <w:bCs/>
        </w:rPr>
        <w:t>关键指标：</w:t>
      </w:r>
    </w:p>
    <w:p w14:paraId="735EDAC6">
      <w:pPr>
        <w:pStyle w:val="10"/>
        <w:snapToGrid/>
        <w:ind w:firstLine="640"/>
        <w:rPr>
          <w:rFonts w:ascii="Times New Roman" w:hAnsi="Times New Roman"/>
          <w:spacing w:val="0"/>
          <w:kern w:val="2"/>
          <w:lang w:eastAsia="zh-Hans"/>
        </w:rPr>
      </w:pPr>
      <w:r>
        <w:rPr>
          <w:rFonts w:hint="eastAsia" w:ascii="Times New Roman" w:hAnsi="Times New Roman"/>
          <w:spacing w:val="0"/>
          <w:kern w:val="2"/>
          <w:lang w:eastAsia="zh-Hans"/>
        </w:rPr>
        <w:t>研发霞石正长岩资源梯级高效高值利用关键技术2项；建立吨级/天霞石正长岩资源梯级高效高值利用中试示范线1个，连续运行≥48h，玻陶级霞石制品Fe</w:t>
      </w:r>
      <w:r>
        <w:rPr>
          <w:rFonts w:hint="eastAsia" w:ascii="Times New Roman" w:hAnsi="Times New Roman"/>
          <w:spacing w:val="0"/>
          <w:kern w:val="2"/>
          <w:vertAlign w:val="subscript"/>
          <w:lang w:eastAsia="zh-Hans"/>
        </w:rPr>
        <w:t>2</w:t>
      </w:r>
      <w:r>
        <w:rPr>
          <w:rFonts w:hint="eastAsia" w:ascii="Times New Roman" w:hAnsi="Times New Roman"/>
          <w:spacing w:val="0"/>
          <w:kern w:val="2"/>
          <w:lang w:eastAsia="zh-Hans"/>
        </w:rPr>
        <w:t>O</w:t>
      </w:r>
      <w:r>
        <w:rPr>
          <w:rFonts w:hint="eastAsia" w:ascii="Times New Roman" w:hAnsi="Times New Roman"/>
          <w:spacing w:val="0"/>
          <w:kern w:val="2"/>
          <w:vertAlign w:val="subscript"/>
          <w:lang w:eastAsia="zh-Hans"/>
        </w:rPr>
        <w:t>3</w:t>
      </w:r>
      <w:r>
        <w:rPr>
          <w:rFonts w:hint="eastAsia" w:ascii="Times New Roman" w:hAnsi="Times New Roman"/>
          <w:spacing w:val="0"/>
          <w:kern w:val="2"/>
          <w:lang w:eastAsia="zh-Hans"/>
        </w:rPr>
        <w:t>+TiO</w:t>
      </w:r>
      <w:r>
        <w:rPr>
          <w:rFonts w:hint="eastAsia" w:ascii="Times New Roman" w:hAnsi="Times New Roman"/>
          <w:spacing w:val="0"/>
          <w:kern w:val="2"/>
          <w:vertAlign w:val="subscript"/>
          <w:lang w:eastAsia="zh-Hans"/>
        </w:rPr>
        <w:t>2</w:t>
      </w:r>
      <w:r>
        <w:rPr>
          <w:rFonts w:hint="eastAsia" w:ascii="Times New Roman" w:hAnsi="Times New Roman"/>
          <w:spacing w:val="0"/>
          <w:kern w:val="2"/>
          <w:lang w:eastAsia="zh-Hans"/>
        </w:rPr>
        <w:t>≤0.6%。建立100kg/炉次冶金中试示范线1个，每天运行≥3炉次，霞石精矿氧化铝溶出率≥80%，制备出氧化铝产品Al</w:t>
      </w:r>
      <w:r>
        <w:rPr>
          <w:rFonts w:hint="eastAsia" w:ascii="Times New Roman" w:hAnsi="Times New Roman"/>
          <w:spacing w:val="0"/>
          <w:kern w:val="2"/>
          <w:vertAlign w:val="subscript"/>
          <w:lang w:eastAsia="zh-Hans"/>
        </w:rPr>
        <w:t>2</w:t>
      </w:r>
      <w:r>
        <w:rPr>
          <w:rFonts w:hint="eastAsia" w:ascii="Times New Roman" w:hAnsi="Times New Roman"/>
          <w:spacing w:val="0"/>
          <w:kern w:val="2"/>
          <w:lang w:eastAsia="zh-Hans"/>
        </w:rPr>
        <w:t>O</w:t>
      </w:r>
      <w:r>
        <w:rPr>
          <w:rFonts w:hint="eastAsia" w:ascii="Times New Roman" w:hAnsi="Times New Roman"/>
          <w:spacing w:val="0"/>
          <w:kern w:val="2"/>
          <w:vertAlign w:val="subscript"/>
          <w:lang w:eastAsia="zh-Hans"/>
        </w:rPr>
        <w:t>3</w:t>
      </w:r>
      <w:r>
        <w:rPr>
          <w:rFonts w:hint="eastAsia" w:ascii="Times New Roman" w:hAnsi="Times New Roman"/>
          <w:spacing w:val="0"/>
          <w:kern w:val="2"/>
          <w:lang w:eastAsia="zh-Hans"/>
        </w:rPr>
        <w:t>≥99%；锂电池涂覆产品勃姆石含量≥99%。发表学术论文6-8篇，授权发明专利2-4项；培养硕博研究生3-5人。</w:t>
      </w:r>
    </w:p>
    <w:p w14:paraId="18FBDB4A">
      <w:pPr>
        <w:pStyle w:val="3"/>
        <w:spacing w:before="0" w:after="0" w:line="560" w:lineRule="exact"/>
        <w:ind w:firstLine="656"/>
        <w:contextualSpacing/>
        <w:rPr>
          <w:rStyle w:val="15"/>
          <w:rFonts w:ascii="Times New Roman" w:hAnsi="Times New Roman" w:eastAsia="方正楷体_GBK"/>
          <w:b w:val="0"/>
          <w:bCs/>
        </w:rPr>
      </w:pPr>
      <w:bookmarkStart w:id="19" w:name="_Toc196728691"/>
      <w:r>
        <w:rPr>
          <w:rStyle w:val="15"/>
          <w:rFonts w:hint="eastAsia" w:ascii="Times New Roman" w:hAnsi="Times New Roman" w:eastAsia="方正楷体_GBK"/>
          <w:b w:val="0"/>
          <w:bCs/>
        </w:rPr>
        <w:t>（十一）</w:t>
      </w:r>
      <w:bookmarkEnd w:id="19"/>
      <w:r>
        <w:rPr>
          <w:rStyle w:val="15"/>
          <w:rFonts w:hint="eastAsia" w:ascii="Times New Roman" w:hAnsi="Times New Roman" w:eastAsia="方正楷体_GBK"/>
          <w:b w:val="0"/>
          <w:bCs/>
        </w:rPr>
        <w:t>电解铝废弃物提锂及铝灰高值化绿色回收技术与工程示范</w:t>
      </w:r>
    </w:p>
    <w:p w14:paraId="11185504">
      <w:pPr>
        <w:pStyle w:val="10"/>
        <w:snapToGrid/>
        <w:ind w:firstLine="634"/>
        <w:rPr>
          <w:rFonts w:ascii="Times New Roman" w:hAnsi="Times New Roman"/>
        </w:rPr>
      </w:pPr>
      <w:r>
        <w:rPr>
          <w:rFonts w:hint="eastAsia" w:ascii="Times New Roman" w:hAnsi="Times New Roman"/>
          <w:b/>
          <w:bCs/>
        </w:rPr>
        <w:t>主要研究内容：</w:t>
      </w:r>
    </w:p>
    <w:p w14:paraId="6D823798">
      <w:pPr>
        <w:pStyle w:val="10"/>
        <w:snapToGrid/>
        <w:ind w:firstLine="640"/>
        <w:rPr>
          <w:rFonts w:ascii="Times New Roman" w:hAnsi="Times New Roman"/>
          <w:spacing w:val="0"/>
          <w:kern w:val="2"/>
          <w:lang w:eastAsia="zh-Hans"/>
        </w:rPr>
      </w:pPr>
      <w:r>
        <w:rPr>
          <w:rFonts w:hint="eastAsia" w:ascii="Times New Roman" w:hAnsi="Times New Roman"/>
          <w:spacing w:val="0"/>
          <w:kern w:val="2"/>
          <w:lang w:eastAsia="zh-Hans"/>
        </w:rPr>
        <w:t>针对新疆地区电解铝废弃物利用过程中存在锂氟铝元素协同提取率低、α-氧化铝晶型稳定回收难、释放有毒有害气体处置难、环境污染严重等问题，以电解铝废弃物有价元素全组分利用为总体目标，研究电解铝废弃物中锂氟铝钠多元素多尺度物相赋存规律与嵌布特征，研发有机质与无机质的精深解离分选技术，揭示电解铝废弃物在温和溶液化学环境中的矿相转变机制，开发有价元素选择性溶出工艺；阐明电解铝废弃物湿法冶金过程有毒有害易燃易爆气体的释放规律与调控方法，研制微负压反应体系与微纳米气泡强化气体吸收设备，开发反应气体安全释放高效捕集工艺；揭示氧化铝稳态晶型向非稳态晶型的转化机制，开发α-氧化铝选择性中低温浸出、浸出液循环复用工艺、梯级除杂提纯工艺，研制基于二氧化碳微纳米气泡调节溶液化学环境设备，建成万吨级电解铝废弃物制备高价值产品示范工程和吨级/天铝灰有价元素提取制备氧化铝和冰晶石的示范验证线，实现资源高价值绿色回收利用。</w:t>
      </w:r>
    </w:p>
    <w:p w14:paraId="379BA473">
      <w:pPr>
        <w:pStyle w:val="10"/>
        <w:snapToGrid/>
        <w:ind w:firstLine="634"/>
        <w:rPr>
          <w:rFonts w:ascii="Times New Roman" w:hAnsi="Times New Roman"/>
        </w:rPr>
      </w:pPr>
      <w:r>
        <w:rPr>
          <w:rFonts w:hint="eastAsia" w:ascii="Times New Roman" w:hAnsi="Times New Roman"/>
          <w:b/>
          <w:bCs/>
        </w:rPr>
        <w:t>关键指标：</w:t>
      </w:r>
    </w:p>
    <w:p w14:paraId="6900AEB6">
      <w:pPr>
        <w:pStyle w:val="10"/>
        <w:snapToGrid/>
        <w:ind w:firstLine="640"/>
        <w:rPr>
          <w:rFonts w:ascii="Times New Roman" w:hAnsi="Times New Roman"/>
          <w:spacing w:val="0"/>
          <w:kern w:val="2"/>
          <w:lang w:eastAsia="zh-Hans"/>
        </w:rPr>
      </w:pPr>
      <w:r>
        <w:rPr>
          <w:rFonts w:hint="eastAsia" w:ascii="Times New Roman" w:hAnsi="Times New Roman"/>
          <w:spacing w:val="0"/>
          <w:kern w:val="2"/>
          <w:lang w:eastAsia="zh-Hans"/>
        </w:rPr>
        <w:t>研发电解铝废弃物中有机质与无机质精深分离技术1套，其中有机质中灰分不高于8%；研发电解铝废弃物反应气体安全释放高效捕集的成套工艺1项，开发不同类型气体微纳米气泡发生器的技术原型1套；开发电解铝废弃物中α-氧化铝在低温环境下晶型转变方法，其中α-氧化铝回收温度不高于300℃，α-氧化铝回收率不低于90%；研发电解铝废弃物有价元素“高效浸出-选择性分离-梯级除杂”的工艺路径，制备出符合国家标准的碳酸锂、冰晶石、氟化铝、氧化铝等高价值产品，有价元素综合回收率不低于80%；建成处理量为10万吨/年电解铝废弃物提取碳酸锂示范工程1个，建设处理量为吨级/天铝灰有价元素提取制备氧化铝和冰晶石的示范验证线1个；发表论文8-10篇，授权发明专利1-2项；培养硕博研究生3-5人。</w:t>
      </w:r>
    </w:p>
    <w:p w14:paraId="5A3B5B46">
      <w:pPr>
        <w:pStyle w:val="3"/>
        <w:spacing w:before="0" w:after="0" w:line="560" w:lineRule="exact"/>
        <w:ind w:firstLine="656"/>
        <w:contextualSpacing/>
        <w:rPr>
          <w:rStyle w:val="15"/>
          <w:rFonts w:ascii="Times New Roman" w:hAnsi="Times New Roman" w:eastAsia="方正楷体_GBK"/>
          <w:b w:val="0"/>
          <w:bCs/>
        </w:rPr>
      </w:pPr>
      <w:bookmarkStart w:id="20" w:name="_Toc196728692"/>
      <w:r>
        <w:rPr>
          <w:rStyle w:val="15"/>
          <w:rFonts w:hint="eastAsia" w:ascii="Times New Roman" w:hAnsi="Times New Roman" w:eastAsia="方正楷体_GBK"/>
          <w:b w:val="0"/>
          <w:bCs/>
        </w:rPr>
        <w:t>（十二）</w:t>
      </w:r>
      <w:bookmarkEnd w:id="20"/>
      <w:r>
        <w:rPr>
          <w:rStyle w:val="15"/>
          <w:rFonts w:hint="eastAsia" w:ascii="Times New Roman" w:hAnsi="Times New Roman" w:eastAsia="方正楷体_GBK"/>
          <w:b w:val="0"/>
          <w:bCs/>
        </w:rPr>
        <w:t>铜镍钴金等战略性矿产资源绿色生物提取关键技术与应用</w:t>
      </w:r>
    </w:p>
    <w:p w14:paraId="3229807F">
      <w:pPr>
        <w:pStyle w:val="10"/>
        <w:snapToGrid/>
        <w:ind w:firstLine="634"/>
        <w:rPr>
          <w:rFonts w:ascii="Times New Roman" w:hAnsi="Times New Roman"/>
          <w:b/>
          <w:bCs/>
        </w:rPr>
      </w:pPr>
      <w:r>
        <w:rPr>
          <w:rFonts w:hint="eastAsia" w:ascii="Times New Roman" w:hAnsi="Times New Roman"/>
          <w:b/>
          <w:bCs/>
        </w:rPr>
        <w:t>主要研究内容：</w:t>
      </w:r>
    </w:p>
    <w:p w14:paraId="7D334979">
      <w:pPr>
        <w:pStyle w:val="10"/>
        <w:snapToGrid/>
        <w:ind w:firstLine="640"/>
        <w:rPr>
          <w:rFonts w:ascii="Times New Roman" w:hAnsi="Times New Roman"/>
          <w:spacing w:val="0"/>
          <w:kern w:val="2"/>
          <w:lang w:eastAsia="zh-Hans"/>
        </w:rPr>
      </w:pPr>
      <w:r>
        <w:rPr>
          <w:rFonts w:hint="eastAsia" w:ascii="Times New Roman" w:hAnsi="Times New Roman"/>
          <w:spacing w:val="0"/>
          <w:kern w:val="2"/>
          <w:lang w:eastAsia="zh-Hans"/>
        </w:rPr>
        <w:t>聚焦生物冶金过程中涉及的共性关键科学问题和关键技术难题开展研究，主要针对生物冶金高效菌种资源匮乏、适应性差、酸耗大、非常规浸出机制不明、浸出效率低等瓶颈问题，构建高效冶金专属微生物菌群，揭示非常规体系微生物-矿物表界面反应机制，提升生物-矿物浸出效率；开发铜/镍/钴/铀/金等资源非常规生物浸出新工艺新技术，开展多场协同数值模拟及全过程精细化调控过程强化研究，研发生物堆浸与原位浸提工程技术；研制智能化和低能耗及高效率一体化生物冶金反应器；构建生物冶金绿色制造新技术体系，形成相应的生物冶金技术产业化工程示范。</w:t>
      </w:r>
    </w:p>
    <w:p w14:paraId="33968FC8">
      <w:pPr>
        <w:pStyle w:val="10"/>
        <w:snapToGrid/>
        <w:ind w:firstLine="634"/>
        <w:rPr>
          <w:rFonts w:ascii="Times New Roman" w:hAnsi="Times New Roman"/>
        </w:rPr>
      </w:pPr>
      <w:r>
        <w:rPr>
          <w:rFonts w:hint="eastAsia" w:ascii="Times New Roman" w:hAnsi="Times New Roman"/>
          <w:b/>
          <w:bCs/>
        </w:rPr>
        <w:t>关键指标：</w:t>
      </w:r>
    </w:p>
    <w:p w14:paraId="3216C9FE">
      <w:pPr>
        <w:pStyle w:val="10"/>
        <w:snapToGrid/>
        <w:ind w:firstLine="640"/>
        <w:rPr>
          <w:rFonts w:ascii="Times New Roman" w:hAnsi="Times New Roman"/>
          <w:spacing w:val="0"/>
          <w:kern w:val="2"/>
          <w:lang w:eastAsia="zh-Hans"/>
        </w:rPr>
      </w:pPr>
      <w:r>
        <w:rPr>
          <w:rFonts w:hint="eastAsia" w:ascii="Times New Roman" w:hAnsi="Times New Roman"/>
          <w:spacing w:val="0"/>
          <w:kern w:val="2"/>
          <w:lang w:eastAsia="zh-Hans"/>
        </w:rPr>
        <w:t>选育驯化耐受重金属/辐射的高效冶金微生物菌种50株以上，建立用于战略资源绿色生物提取微生物菌种库1个；揭示完善微生物/代谢产物介导矿物氧化分解机制；研发铜/镍/钴/铀/金等金属矿开发用于其金属矿的非常规生物浸出新技术2-3项；研制智能化、低能耗的高效生物冶金反应器1套；开展多场协同全过程精细化调控过程强化研究，研发生物堆浸与原位浸出提取工程技术1套，建立战略金属矿产资源绿色生物提取工程示范1-2项；典型战略矿产金属入选品位降低15%以上，可利用资源量增加15%以上；发表论文15-18篇，授权发明专利8-10项；培养硕博研究生5-7人。</w:t>
      </w:r>
    </w:p>
    <w:p w14:paraId="2F4FE30D">
      <w:pPr>
        <w:pStyle w:val="3"/>
        <w:spacing w:before="0" w:after="0" w:line="560" w:lineRule="exact"/>
        <w:ind w:firstLine="656"/>
        <w:contextualSpacing/>
        <w:rPr>
          <w:rStyle w:val="15"/>
          <w:rFonts w:ascii="Times New Roman" w:hAnsi="Times New Roman" w:eastAsia="方正楷体_GBK"/>
          <w:b w:val="0"/>
          <w:bCs/>
        </w:rPr>
      </w:pPr>
      <w:bookmarkStart w:id="21" w:name="_Toc196728693"/>
      <w:r>
        <w:rPr>
          <w:rStyle w:val="15"/>
          <w:rFonts w:hint="eastAsia" w:ascii="Times New Roman" w:hAnsi="Times New Roman" w:eastAsia="方正楷体_GBK"/>
          <w:b w:val="0"/>
          <w:bCs/>
        </w:rPr>
        <w:t>（十三）</w:t>
      </w:r>
      <w:bookmarkEnd w:id="21"/>
      <w:r>
        <w:rPr>
          <w:rStyle w:val="15"/>
          <w:rFonts w:hint="eastAsia" w:ascii="Times New Roman" w:hAnsi="Times New Roman" w:eastAsia="方正楷体_GBK"/>
          <w:b w:val="0"/>
          <w:bCs/>
        </w:rPr>
        <w:t>大型金属矿山破碎矿体非爆连续开采及绿色充填关键技术研究</w:t>
      </w:r>
    </w:p>
    <w:p w14:paraId="26C63208">
      <w:pPr>
        <w:pStyle w:val="10"/>
        <w:snapToGrid/>
        <w:ind w:firstLine="634"/>
        <w:rPr>
          <w:rFonts w:ascii="Times New Roman" w:hAnsi="Times New Roman"/>
        </w:rPr>
      </w:pPr>
      <w:r>
        <w:rPr>
          <w:rFonts w:hint="eastAsia" w:ascii="Times New Roman" w:hAnsi="Times New Roman"/>
          <w:b/>
          <w:bCs/>
        </w:rPr>
        <w:t>主要研究内容：</w:t>
      </w:r>
    </w:p>
    <w:p w14:paraId="1C7A1B40">
      <w:pPr>
        <w:spacing w:line="560" w:lineRule="exact"/>
        <w:ind w:firstLine="640" w:firstLineChars="200"/>
        <w:contextualSpacing/>
        <w:jc w:val="left"/>
        <w:rPr>
          <w:rFonts w:ascii="Times New Roman" w:hAnsi="Times New Roman" w:eastAsia="方正仿宋_GBK" w:cs="方正仿宋_GBK"/>
          <w:sz w:val="32"/>
          <w:szCs w:val="32"/>
          <w:lang w:eastAsia="zh-Hans"/>
        </w:rPr>
      </w:pPr>
      <w:r>
        <w:rPr>
          <w:rFonts w:hint="eastAsia" w:ascii="Times New Roman" w:hAnsi="Times New Roman" w:eastAsia="方正仿宋_GBK" w:cs="方正仿宋_GBK"/>
          <w:sz w:val="32"/>
          <w:szCs w:val="32"/>
          <w:lang w:eastAsia="zh-Hans"/>
        </w:rPr>
        <w:t>聚焦大型金属矿山破碎矿体非爆连续开采及绿色充填关键科学技术难题，研究复杂地质条件下金属矿机械高频冲击破岩机制，构建金属矿硬岩冲击破岩能效评价体系；研发机械化高频冲击破岩装备及后配套设施，建立安全高效的机械化连续充填采矿方法，构建破碎围岩失稳灾害在线预警信息系统，构建机械破岩关键因素指标集和机械开采可掘性分级体系，研发分区分级支护技术；研究连续低频机械开挖过程周边充填体劣化机制，建立机械连续集中开采的充填体强度需求模型，研发机械连续高强度开采膏体充填技术；采用大语言模型技术，进行充填全流程多工序智能管控系统研发，建立充填全流程智能控制与监测体系，开展非爆连续开采与绿色充填协同应用示范，建立安全高效、绿色集约的大型金属矿山破碎矿体非爆连续开采及绿色膏体充填示范工程。</w:t>
      </w:r>
    </w:p>
    <w:p w14:paraId="13741E86">
      <w:pPr>
        <w:pStyle w:val="29"/>
        <w:snapToGrid/>
        <w:ind w:firstLine="701" w:firstLineChars="221"/>
        <w:contextualSpacing/>
        <w:rPr>
          <w:rFonts w:ascii="Times New Roman" w:hAnsi="Times New Roman"/>
          <w:lang w:eastAsia="zh-CN"/>
        </w:rPr>
      </w:pPr>
      <w:r>
        <w:rPr>
          <w:rFonts w:hint="eastAsia" w:ascii="Times New Roman" w:hAnsi="Times New Roman"/>
          <w:b/>
          <w:bCs/>
          <w:spacing w:val="-2"/>
          <w:kern w:val="0"/>
          <w:lang w:eastAsia="zh-CN"/>
        </w:rPr>
        <w:t>关键指标：</w:t>
      </w:r>
    </w:p>
    <w:p w14:paraId="68C3BDF7">
      <w:pPr>
        <w:pStyle w:val="29"/>
        <w:snapToGrid/>
        <w:ind w:firstLine="742" w:firstLineChars="232"/>
        <w:contextualSpacing/>
        <w:rPr>
          <w:rFonts w:ascii="Times New Roman" w:hAnsi="Times New Roman"/>
        </w:rPr>
      </w:pPr>
      <w:r>
        <w:rPr>
          <w:rFonts w:hint="eastAsia" w:ascii="Times New Roman" w:hAnsi="Times New Roman"/>
        </w:rPr>
        <w:t>构建金属矿硬岩冲击破岩能效评价体系1套；构建破碎围岩失稳灾害在线预警信息系统1个；构建硬岩机械破岩关键因素指标集和机械开采可掘性分级体系1套；研发与机械连续掘进扰动和复杂岩性相适应的分区分级支护技术1套；研发连续低频机械扰动环境膏体充填关键技术，充填能力大于100m</w:t>
      </w:r>
      <w:r>
        <w:rPr>
          <w:rFonts w:hint="eastAsia" w:ascii="Times New Roman" w:hAnsi="Times New Roman"/>
          <w:vertAlign w:val="superscript"/>
        </w:rPr>
        <w:t>3</w:t>
      </w:r>
      <w:r>
        <w:rPr>
          <w:rFonts w:hint="eastAsia" w:ascii="Times New Roman" w:hAnsi="Times New Roman"/>
        </w:rPr>
        <w:t>/h，建立充填全流程智能控制与监测体系1套；研发硬岩高频冲击机械连续破岩装备1套；建成安全高效、绿色集约的大型金属矿山破碎矿体非爆连续开采及绿色膏体充填示范工程1个；编制行业技术标准2项，发表论文20篇，</w:t>
      </w:r>
      <w:r>
        <w:rPr>
          <w:rFonts w:hint="eastAsia" w:ascii="Times New Roman" w:hAnsi="Times New Roman"/>
          <w:lang w:eastAsia="zh-CN"/>
        </w:rPr>
        <w:t>授权发明专利</w:t>
      </w:r>
      <w:r>
        <w:rPr>
          <w:rFonts w:hint="eastAsia" w:ascii="Times New Roman" w:hAnsi="Times New Roman"/>
        </w:rPr>
        <w:t>4-5项；培养硕博研究生</w:t>
      </w:r>
      <w:r>
        <w:rPr>
          <w:rFonts w:hint="eastAsia" w:ascii="Times New Roman" w:hAnsi="Times New Roman"/>
          <w:lang w:eastAsia="zh-CN"/>
        </w:rPr>
        <w:t>6-8人，晋升副高级职称4-6人。</w:t>
      </w:r>
    </w:p>
    <w:p w14:paraId="385B8AEB">
      <w:pPr>
        <w:pStyle w:val="3"/>
        <w:spacing w:before="0" w:after="0" w:line="560" w:lineRule="exact"/>
        <w:ind w:firstLine="656"/>
        <w:contextualSpacing/>
        <w:rPr>
          <w:rStyle w:val="15"/>
          <w:rFonts w:ascii="Times New Roman" w:hAnsi="Times New Roman" w:eastAsia="方正楷体_GBK"/>
          <w:b w:val="0"/>
          <w:bCs/>
        </w:rPr>
      </w:pPr>
      <w:bookmarkStart w:id="22" w:name="_Toc196728694"/>
      <w:r>
        <w:rPr>
          <w:rStyle w:val="15"/>
          <w:rFonts w:hint="eastAsia" w:ascii="Times New Roman" w:hAnsi="Times New Roman" w:eastAsia="方正楷体_GBK"/>
          <w:b w:val="0"/>
          <w:bCs/>
        </w:rPr>
        <w:t>（十四）</w:t>
      </w:r>
      <w:bookmarkEnd w:id="22"/>
      <w:r>
        <w:rPr>
          <w:rStyle w:val="15"/>
          <w:rFonts w:hint="eastAsia" w:ascii="Times New Roman" w:hAnsi="Times New Roman" w:eastAsia="方正楷体_GBK"/>
          <w:b w:val="0"/>
          <w:bCs/>
        </w:rPr>
        <w:t>铜镍钴绿色智能综合利用关键技术研发与示范</w:t>
      </w:r>
    </w:p>
    <w:p w14:paraId="2AED1936">
      <w:pPr>
        <w:pStyle w:val="10"/>
        <w:snapToGrid/>
        <w:ind w:firstLine="634"/>
        <w:rPr>
          <w:rFonts w:ascii="Times New Roman" w:hAnsi="Times New Roman"/>
        </w:rPr>
      </w:pPr>
      <w:r>
        <w:rPr>
          <w:rFonts w:hint="eastAsia" w:ascii="Times New Roman" w:hAnsi="Times New Roman"/>
          <w:b/>
          <w:bCs/>
        </w:rPr>
        <w:t>主要研究内容：</w:t>
      </w:r>
    </w:p>
    <w:p w14:paraId="64ECFD2A">
      <w:pPr>
        <w:pStyle w:val="10"/>
        <w:snapToGrid/>
        <w:ind w:firstLine="640"/>
        <w:rPr>
          <w:rFonts w:ascii="Times New Roman" w:hAnsi="Times New Roman"/>
          <w:spacing w:val="0"/>
          <w:kern w:val="2"/>
          <w:lang w:eastAsia="zh-Hans"/>
        </w:rPr>
      </w:pPr>
      <w:r>
        <w:rPr>
          <w:rFonts w:hint="eastAsia" w:ascii="Times New Roman" w:hAnsi="Times New Roman"/>
          <w:spacing w:val="0"/>
          <w:kern w:val="2"/>
          <w:lang w:eastAsia="zh-Hans"/>
        </w:rPr>
        <w:t>研发适应于多装备时空协同的深部复杂形态矿体集群化采场再造标准，开展集群化采场多工序智能装备配套作业优化研究，实现集群化采场“钻-装-掘-采-运-破”多工序复杂非线性特征的协同一致；开展矿废微波诱导分选系统创新设计，构建微波时空协同参数-矿废红外热图像信息-矿石品位耦合模型，降低集群化采场的废石运输量；基于矿物基因属性和配位场理论，多种自变量融合、不同因变量耦合协同研究有价元素梯次富集分离过程，研发调控矿物表面组分含量及活性选矿药剂，开发复杂难选铜镍钴多金属矿溶氧铁硫剥离-铜镍高效分离技术，达到提质降尾、综合回收铜、镍、钴及伴生稀贵金属元素的目的。</w:t>
      </w:r>
    </w:p>
    <w:p w14:paraId="72B91836">
      <w:pPr>
        <w:pStyle w:val="10"/>
        <w:snapToGrid/>
        <w:ind w:firstLine="634"/>
        <w:rPr>
          <w:rFonts w:ascii="Times New Roman" w:hAnsi="Times New Roman"/>
        </w:rPr>
      </w:pPr>
      <w:r>
        <w:rPr>
          <w:rFonts w:hint="eastAsia" w:ascii="Times New Roman" w:hAnsi="Times New Roman"/>
          <w:b/>
          <w:bCs/>
        </w:rPr>
        <w:t>关键指标：</w:t>
      </w:r>
    </w:p>
    <w:p w14:paraId="445793E4">
      <w:pPr>
        <w:pStyle w:val="10"/>
        <w:snapToGrid/>
        <w:ind w:firstLine="640"/>
        <w:rPr>
          <w:rFonts w:ascii="Times New Roman" w:hAnsi="Times New Roman"/>
          <w:spacing w:val="0"/>
          <w:kern w:val="2"/>
        </w:rPr>
      </w:pPr>
      <w:r>
        <w:rPr>
          <w:rFonts w:hint="eastAsia" w:ascii="Times New Roman" w:hAnsi="Times New Roman"/>
          <w:spacing w:val="0"/>
          <w:kern w:val="2"/>
        </w:rPr>
        <w:t>形成基于多工序多装备智能协同作业模式的采矿工艺技术体系1套；研发基于微波诱导的矿石智能预选抛废系统与装备1套，实现矿石处理能力60-80吨/小时，抛废粒径区间15-200mm，抛废率≥20%，抛废金属损失率≤8%，减少废石运输50%以上，降低充填成本20%；选矿回收率铜≥92%、镍≥80%，伴生金银钴综合回收率≥65%；研发梯次富集分离、溶氧铁硫剥离及铜镍高效分离技术2-3项；形成复杂难选铜镍钴多金属矿产资源提质高效综合回收关键技术，开发新型选矿药剂2种以上；发表论文6-8篇，授权发明专利2项。</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51369876"/>
      <w:docPartObj>
        <w:docPartGallery w:val="autotext"/>
      </w:docPartObj>
    </w:sdtPr>
    <w:sdtContent>
      <w:p w14:paraId="6E2F419C">
        <w:pPr>
          <w:pStyle w:val="8"/>
          <w:jc w:val="center"/>
        </w:pPr>
        <w:r>
          <w:fldChar w:fldCharType="begin"/>
        </w:r>
        <w:r>
          <w:instrText xml:space="preserve">PAGE   \* MERGEFORMAT</w:instrText>
        </w:r>
        <w:r>
          <w:fldChar w:fldCharType="separate"/>
        </w:r>
        <w:r>
          <w:rPr>
            <w:lang w:val="zh-CN"/>
          </w:rPr>
          <w:t>2</w:t>
        </w:r>
        <w:r>
          <w:fldChar w:fldCharType="end"/>
        </w:r>
      </w:p>
    </w:sdtContent>
  </w:sdt>
  <w:p w14:paraId="3E5AA34D">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Q1ODUzNzNkZjQwZTA3NGIzOGMzMDI4ZTc1MjcwYmYifQ=="/>
  </w:docVars>
  <w:rsids>
    <w:rsidRoot w:val="561154AE"/>
    <w:rsid w:val="000137E8"/>
    <w:rsid w:val="00042082"/>
    <w:rsid w:val="000467A8"/>
    <w:rsid w:val="00050D26"/>
    <w:rsid w:val="00051DD8"/>
    <w:rsid w:val="00067852"/>
    <w:rsid w:val="00070156"/>
    <w:rsid w:val="000821F0"/>
    <w:rsid w:val="000A70DF"/>
    <w:rsid w:val="000C0D7D"/>
    <w:rsid w:val="00103F6B"/>
    <w:rsid w:val="00113BD2"/>
    <w:rsid w:val="00143071"/>
    <w:rsid w:val="00156419"/>
    <w:rsid w:val="001600A1"/>
    <w:rsid w:val="001710F9"/>
    <w:rsid w:val="00173EBD"/>
    <w:rsid w:val="00191BA6"/>
    <w:rsid w:val="00206011"/>
    <w:rsid w:val="0020782A"/>
    <w:rsid w:val="002143CB"/>
    <w:rsid w:val="00217084"/>
    <w:rsid w:val="002517DA"/>
    <w:rsid w:val="00254DF1"/>
    <w:rsid w:val="00257489"/>
    <w:rsid w:val="00265FA9"/>
    <w:rsid w:val="002B777E"/>
    <w:rsid w:val="002D0823"/>
    <w:rsid w:val="002E6198"/>
    <w:rsid w:val="002F3FEA"/>
    <w:rsid w:val="0031139A"/>
    <w:rsid w:val="003151FF"/>
    <w:rsid w:val="00352704"/>
    <w:rsid w:val="00354ABA"/>
    <w:rsid w:val="00360998"/>
    <w:rsid w:val="003869F1"/>
    <w:rsid w:val="003D0542"/>
    <w:rsid w:val="00402AD2"/>
    <w:rsid w:val="00426414"/>
    <w:rsid w:val="00463E88"/>
    <w:rsid w:val="00494CEE"/>
    <w:rsid w:val="0049571D"/>
    <w:rsid w:val="004A0033"/>
    <w:rsid w:val="004D457E"/>
    <w:rsid w:val="004E28FC"/>
    <w:rsid w:val="004E7FA0"/>
    <w:rsid w:val="004F4374"/>
    <w:rsid w:val="0052055E"/>
    <w:rsid w:val="00527253"/>
    <w:rsid w:val="00536BEA"/>
    <w:rsid w:val="00541BA0"/>
    <w:rsid w:val="005449CD"/>
    <w:rsid w:val="00545B70"/>
    <w:rsid w:val="005579C8"/>
    <w:rsid w:val="00563E2F"/>
    <w:rsid w:val="00565D0F"/>
    <w:rsid w:val="00585A60"/>
    <w:rsid w:val="00593784"/>
    <w:rsid w:val="005963FF"/>
    <w:rsid w:val="005B0FBE"/>
    <w:rsid w:val="005B1484"/>
    <w:rsid w:val="005C62B8"/>
    <w:rsid w:val="005D536C"/>
    <w:rsid w:val="005E34DE"/>
    <w:rsid w:val="00606A3E"/>
    <w:rsid w:val="00615CD0"/>
    <w:rsid w:val="00640131"/>
    <w:rsid w:val="00652DB3"/>
    <w:rsid w:val="006720C0"/>
    <w:rsid w:val="00690B33"/>
    <w:rsid w:val="006D74F4"/>
    <w:rsid w:val="007126AF"/>
    <w:rsid w:val="0072273D"/>
    <w:rsid w:val="007317C0"/>
    <w:rsid w:val="0074074F"/>
    <w:rsid w:val="00757267"/>
    <w:rsid w:val="00771251"/>
    <w:rsid w:val="007866D8"/>
    <w:rsid w:val="0079681B"/>
    <w:rsid w:val="007D0442"/>
    <w:rsid w:val="008043D7"/>
    <w:rsid w:val="00814DCF"/>
    <w:rsid w:val="008217CD"/>
    <w:rsid w:val="00821822"/>
    <w:rsid w:val="00833EBA"/>
    <w:rsid w:val="008435F0"/>
    <w:rsid w:val="00892C9F"/>
    <w:rsid w:val="008A6F78"/>
    <w:rsid w:val="008B5EFF"/>
    <w:rsid w:val="008C1FC7"/>
    <w:rsid w:val="008C321E"/>
    <w:rsid w:val="008E798B"/>
    <w:rsid w:val="00920431"/>
    <w:rsid w:val="0096374A"/>
    <w:rsid w:val="00980007"/>
    <w:rsid w:val="00996102"/>
    <w:rsid w:val="009B34A0"/>
    <w:rsid w:val="009C1284"/>
    <w:rsid w:val="009C2A70"/>
    <w:rsid w:val="009C762A"/>
    <w:rsid w:val="009D2767"/>
    <w:rsid w:val="009D75B1"/>
    <w:rsid w:val="009F0533"/>
    <w:rsid w:val="00A27F6E"/>
    <w:rsid w:val="00A316DC"/>
    <w:rsid w:val="00A41FDF"/>
    <w:rsid w:val="00A477AC"/>
    <w:rsid w:val="00A62A31"/>
    <w:rsid w:val="00A636CB"/>
    <w:rsid w:val="00A723E4"/>
    <w:rsid w:val="00A8146A"/>
    <w:rsid w:val="00A82F13"/>
    <w:rsid w:val="00A86EF8"/>
    <w:rsid w:val="00AC02CE"/>
    <w:rsid w:val="00AD5431"/>
    <w:rsid w:val="00AE625F"/>
    <w:rsid w:val="00AE747F"/>
    <w:rsid w:val="00B04FEE"/>
    <w:rsid w:val="00B328DF"/>
    <w:rsid w:val="00B44F9A"/>
    <w:rsid w:val="00B75BF8"/>
    <w:rsid w:val="00B92B3D"/>
    <w:rsid w:val="00B94B6F"/>
    <w:rsid w:val="00BA2530"/>
    <w:rsid w:val="00BC0163"/>
    <w:rsid w:val="00BC08EF"/>
    <w:rsid w:val="00BC1B6A"/>
    <w:rsid w:val="00BC52E4"/>
    <w:rsid w:val="00BC5B4E"/>
    <w:rsid w:val="00BC781D"/>
    <w:rsid w:val="00BD3976"/>
    <w:rsid w:val="00BE05B1"/>
    <w:rsid w:val="00BE0C07"/>
    <w:rsid w:val="00BF3C49"/>
    <w:rsid w:val="00BF4920"/>
    <w:rsid w:val="00C02BB8"/>
    <w:rsid w:val="00C1670D"/>
    <w:rsid w:val="00C44A44"/>
    <w:rsid w:val="00C45FB1"/>
    <w:rsid w:val="00C529C3"/>
    <w:rsid w:val="00C57F10"/>
    <w:rsid w:val="00C70238"/>
    <w:rsid w:val="00C736E4"/>
    <w:rsid w:val="00C81D28"/>
    <w:rsid w:val="00C9342B"/>
    <w:rsid w:val="00CA0A98"/>
    <w:rsid w:val="00CB27E8"/>
    <w:rsid w:val="00CB5B2A"/>
    <w:rsid w:val="00CD484E"/>
    <w:rsid w:val="00CD59C6"/>
    <w:rsid w:val="00CE043F"/>
    <w:rsid w:val="00D17CCB"/>
    <w:rsid w:val="00D2578C"/>
    <w:rsid w:val="00D463AC"/>
    <w:rsid w:val="00D47C21"/>
    <w:rsid w:val="00D62A48"/>
    <w:rsid w:val="00D62FD8"/>
    <w:rsid w:val="00D77128"/>
    <w:rsid w:val="00D80A11"/>
    <w:rsid w:val="00D80A27"/>
    <w:rsid w:val="00D9447A"/>
    <w:rsid w:val="00D9677F"/>
    <w:rsid w:val="00DC42C6"/>
    <w:rsid w:val="00DD3B64"/>
    <w:rsid w:val="00E22654"/>
    <w:rsid w:val="00E302AE"/>
    <w:rsid w:val="00E42F90"/>
    <w:rsid w:val="00E6685D"/>
    <w:rsid w:val="00E66912"/>
    <w:rsid w:val="00E75038"/>
    <w:rsid w:val="00E83B68"/>
    <w:rsid w:val="00EA0043"/>
    <w:rsid w:val="00EA5896"/>
    <w:rsid w:val="00EB06D0"/>
    <w:rsid w:val="00EB2A83"/>
    <w:rsid w:val="00EC3F37"/>
    <w:rsid w:val="00EC4E1F"/>
    <w:rsid w:val="00EF45AE"/>
    <w:rsid w:val="00EF503D"/>
    <w:rsid w:val="00F01CB7"/>
    <w:rsid w:val="00F047A5"/>
    <w:rsid w:val="00F11F88"/>
    <w:rsid w:val="00F21CCC"/>
    <w:rsid w:val="00F417AF"/>
    <w:rsid w:val="00F45BB8"/>
    <w:rsid w:val="00F4639C"/>
    <w:rsid w:val="00F72AE8"/>
    <w:rsid w:val="00F72E3D"/>
    <w:rsid w:val="00F848AC"/>
    <w:rsid w:val="00F867E8"/>
    <w:rsid w:val="00FA5475"/>
    <w:rsid w:val="00FB773D"/>
    <w:rsid w:val="00FD277D"/>
    <w:rsid w:val="00FD4764"/>
    <w:rsid w:val="00FE1C7A"/>
    <w:rsid w:val="00FE337F"/>
    <w:rsid w:val="00FF60CC"/>
    <w:rsid w:val="03D40451"/>
    <w:rsid w:val="052402A0"/>
    <w:rsid w:val="059C797B"/>
    <w:rsid w:val="078A638A"/>
    <w:rsid w:val="088B6C77"/>
    <w:rsid w:val="0B6432F1"/>
    <w:rsid w:val="0CE473B7"/>
    <w:rsid w:val="0FA5295D"/>
    <w:rsid w:val="0FAF130B"/>
    <w:rsid w:val="11196324"/>
    <w:rsid w:val="183A43E2"/>
    <w:rsid w:val="1C43398B"/>
    <w:rsid w:val="1F2E04AC"/>
    <w:rsid w:val="2C426B1E"/>
    <w:rsid w:val="2CA50E4D"/>
    <w:rsid w:val="359C036A"/>
    <w:rsid w:val="440E4437"/>
    <w:rsid w:val="46A00372"/>
    <w:rsid w:val="496E61D1"/>
    <w:rsid w:val="4C5F3BCF"/>
    <w:rsid w:val="4D0C49B3"/>
    <w:rsid w:val="561154AE"/>
    <w:rsid w:val="58240E03"/>
    <w:rsid w:val="59EC0167"/>
    <w:rsid w:val="5CCC3817"/>
    <w:rsid w:val="5DCD2ECC"/>
    <w:rsid w:val="62851D4F"/>
    <w:rsid w:val="62BB4547"/>
    <w:rsid w:val="65F84209"/>
    <w:rsid w:val="6AB06526"/>
    <w:rsid w:val="6B327AB1"/>
    <w:rsid w:val="6B8E2AFC"/>
    <w:rsid w:val="6E2D12FD"/>
    <w:rsid w:val="6ED77290"/>
    <w:rsid w:val="6F551919"/>
    <w:rsid w:val="70124EFA"/>
    <w:rsid w:val="725821ED"/>
    <w:rsid w:val="7D736EC6"/>
    <w:rsid w:val="7F4A08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27"/>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unhideWhenUsed/>
    <w:qFormat/>
    <w:uiPriority w:val="0"/>
    <w:pPr>
      <w:keepNext/>
      <w:keepLines/>
      <w:spacing w:before="260" w:after="260" w:line="413" w:lineRule="auto"/>
      <w:outlineLvl w:val="2"/>
    </w:pPr>
    <w:rPr>
      <w:b/>
      <w:sz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5"/>
    <w:qFormat/>
    <w:uiPriority w:val="0"/>
    <w:pPr>
      <w:spacing w:after="120"/>
    </w:pPr>
  </w:style>
  <w:style w:type="paragraph" w:styleId="5">
    <w:name w:val="Body Text 2"/>
    <w:basedOn w:val="1"/>
    <w:unhideWhenUsed/>
    <w:qFormat/>
    <w:uiPriority w:val="99"/>
    <w:pPr>
      <w:spacing w:after="120" w:line="480" w:lineRule="auto"/>
    </w:pPr>
  </w:style>
  <w:style w:type="paragraph" w:styleId="6">
    <w:name w:val="Body Text Indent"/>
    <w:basedOn w:val="1"/>
    <w:next w:val="1"/>
    <w:link w:val="25"/>
    <w:unhideWhenUsed/>
    <w:qFormat/>
    <w:uiPriority w:val="99"/>
    <w:pPr>
      <w:spacing w:after="120"/>
      <w:ind w:left="420" w:leftChars="200"/>
    </w:pPr>
  </w:style>
  <w:style w:type="paragraph" w:styleId="7">
    <w:name w:val="Date"/>
    <w:basedOn w:val="1"/>
    <w:next w:val="1"/>
    <w:link w:val="31"/>
    <w:qFormat/>
    <w:uiPriority w:val="0"/>
    <w:pPr>
      <w:ind w:left="100" w:leftChars="2500"/>
    </w:pPr>
  </w:style>
  <w:style w:type="paragraph" w:styleId="8">
    <w:name w:val="footer"/>
    <w:basedOn w:val="1"/>
    <w:link w:val="24"/>
    <w:qFormat/>
    <w:uiPriority w:val="99"/>
    <w:pPr>
      <w:tabs>
        <w:tab w:val="center" w:pos="4153"/>
        <w:tab w:val="right" w:pos="8306"/>
      </w:tabs>
      <w:snapToGrid w:val="0"/>
      <w:jc w:val="left"/>
    </w:pPr>
    <w:rPr>
      <w:sz w:val="18"/>
      <w:szCs w:val="18"/>
    </w:rPr>
  </w:style>
  <w:style w:type="paragraph" w:styleId="9">
    <w:name w:val="header"/>
    <w:basedOn w:val="1"/>
    <w:link w:val="23"/>
    <w:qFormat/>
    <w:uiPriority w:val="0"/>
    <w:pPr>
      <w:tabs>
        <w:tab w:val="center" w:pos="4153"/>
        <w:tab w:val="right" w:pos="8306"/>
      </w:tabs>
      <w:snapToGrid w:val="0"/>
      <w:jc w:val="center"/>
    </w:pPr>
    <w:rPr>
      <w:sz w:val="18"/>
      <w:szCs w:val="18"/>
    </w:rPr>
  </w:style>
  <w:style w:type="paragraph" w:styleId="10">
    <w:name w:val="Normal (Web)"/>
    <w:basedOn w:val="1"/>
    <w:qFormat/>
    <w:uiPriority w:val="99"/>
    <w:pPr>
      <w:widowControl/>
      <w:snapToGrid w:val="0"/>
      <w:spacing w:line="560" w:lineRule="exact"/>
      <w:ind w:firstLine="632" w:firstLineChars="200"/>
      <w:contextualSpacing/>
    </w:pPr>
    <w:rPr>
      <w:rFonts w:ascii="方正仿宋_GBK" w:hAnsi="方正仿宋_GBK" w:eastAsia="方正仿宋_GBK" w:cs="方正仿宋_GBK"/>
      <w:spacing w:val="-2"/>
      <w:kern w:val="0"/>
      <w:sz w:val="32"/>
      <w:szCs w:val="32"/>
    </w:rPr>
  </w:style>
  <w:style w:type="paragraph" w:styleId="11">
    <w:name w:val="Body Text First Indent"/>
    <w:basedOn w:val="4"/>
    <w:link w:val="26"/>
    <w:qFormat/>
    <w:uiPriority w:val="0"/>
    <w:pPr>
      <w:ind w:firstLine="420" w:firstLineChars="1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rFonts w:ascii="方正仿宋_GBK" w:eastAsia="方正仿宋_GBK"/>
      <w:b/>
      <w:color w:val="auto"/>
    </w:rPr>
  </w:style>
  <w:style w:type="paragraph" w:customStyle="1" w:styleId="16">
    <w:name w:val="BodyText1I2"/>
    <w:basedOn w:val="17"/>
    <w:qFormat/>
    <w:uiPriority w:val="0"/>
    <w:pPr>
      <w:spacing w:after="120"/>
      <w:ind w:left="420" w:leftChars="200" w:firstLine="420"/>
    </w:pPr>
  </w:style>
  <w:style w:type="paragraph" w:customStyle="1" w:styleId="17">
    <w:name w:val="BodyTextIndent"/>
    <w:basedOn w:val="1"/>
    <w:qFormat/>
    <w:uiPriority w:val="0"/>
    <w:pPr>
      <w:ind w:firstLine="640"/>
    </w:pPr>
  </w:style>
  <w:style w:type="character" w:customStyle="1" w:styleId="18">
    <w:name w:val="font41"/>
    <w:basedOn w:val="14"/>
    <w:qFormat/>
    <w:uiPriority w:val="0"/>
    <w:rPr>
      <w:rFonts w:ascii="仿宋_GB2312" w:eastAsia="仿宋_GB2312" w:cs="仿宋_GB2312"/>
      <w:b/>
      <w:bCs/>
      <w:color w:val="000000"/>
      <w:sz w:val="28"/>
      <w:szCs w:val="28"/>
      <w:u w:val="none"/>
    </w:rPr>
  </w:style>
  <w:style w:type="character" w:customStyle="1" w:styleId="19">
    <w:name w:val="font61"/>
    <w:basedOn w:val="14"/>
    <w:qFormat/>
    <w:uiPriority w:val="0"/>
    <w:rPr>
      <w:rFonts w:hint="eastAsia" w:ascii="仿宋_GB2312" w:eastAsia="仿宋_GB2312" w:cs="仿宋_GB2312"/>
      <w:color w:val="000000"/>
      <w:sz w:val="24"/>
      <w:szCs w:val="24"/>
      <w:u w:val="none"/>
    </w:rPr>
  </w:style>
  <w:style w:type="character" w:customStyle="1" w:styleId="20">
    <w:name w:val="font101"/>
    <w:basedOn w:val="14"/>
    <w:qFormat/>
    <w:uiPriority w:val="0"/>
    <w:rPr>
      <w:rFonts w:hint="eastAsia" w:ascii="仿宋_GB2312" w:eastAsia="仿宋_GB2312" w:cs="仿宋_GB2312"/>
      <w:color w:val="000000"/>
      <w:sz w:val="24"/>
      <w:szCs w:val="24"/>
      <w:u w:val="none"/>
    </w:rPr>
  </w:style>
  <w:style w:type="character" w:customStyle="1" w:styleId="21">
    <w:name w:val="font31"/>
    <w:basedOn w:val="14"/>
    <w:qFormat/>
    <w:uiPriority w:val="0"/>
    <w:rPr>
      <w:rFonts w:hint="default" w:ascii="Times New Roman" w:hAnsi="Times New Roman" w:cs="Times New Roman"/>
      <w:color w:val="000000"/>
      <w:sz w:val="24"/>
      <w:szCs w:val="24"/>
      <w:u w:val="none"/>
    </w:rPr>
  </w:style>
  <w:style w:type="character" w:customStyle="1" w:styleId="22">
    <w:name w:val="font112"/>
    <w:basedOn w:val="14"/>
    <w:qFormat/>
    <w:uiPriority w:val="0"/>
    <w:rPr>
      <w:rFonts w:hint="eastAsia" w:ascii="仿宋_GB2312" w:eastAsia="仿宋_GB2312" w:cs="仿宋_GB2312"/>
      <w:color w:val="000000"/>
      <w:sz w:val="24"/>
      <w:szCs w:val="24"/>
      <w:u w:val="none"/>
    </w:rPr>
  </w:style>
  <w:style w:type="character" w:customStyle="1" w:styleId="23">
    <w:name w:val="页眉 字符"/>
    <w:basedOn w:val="14"/>
    <w:link w:val="9"/>
    <w:qFormat/>
    <w:uiPriority w:val="0"/>
    <w:rPr>
      <w:rFonts w:asciiTheme="minorHAnsi" w:hAnsiTheme="minorHAnsi" w:eastAsiaTheme="minorEastAsia" w:cstheme="minorBidi"/>
      <w:kern w:val="2"/>
      <w:sz w:val="18"/>
      <w:szCs w:val="18"/>
    </w:rPr>
  </w:style>
  <w:style w:type="character" w:customStyle="1" w:styleId="24">
    <w:name w:val="页脚 字符"/>
    <w:basedOn w:val="14"/>
    <w:link w:val="8"/>
    <w:qFormat/>
    <w:uiPriority w:val="99"/>
    <w:rPr>
      <w:rFonts w:asciiTheme="minorHAnsi" w:hAnsiTheme="minorHAnsi" w:eastAsiaTheme="minorEastAsia" w:cstheme="minorBidi"/>
      <w:kern w:val="2"/>
      <w:sz w:val="18"/>
      <w:szCs w:val="18"/>
    </w:rPr>
  </w:style>
  <w:style w:type="character" w:customStyle="1" w:styleId="25">
    <w:name w:val="正文文本缩进 字符"/>
    <w:basedOn w:val="14"/>
    <w:link w:val="6"/>
    <w:qFormat/>
    <w:uiPriority w:val="99"/>
    <w:rPr>
      <w:rFonts w:asciiTheme="minorHAnsi" w:hAnsiTheme="minorHAnsi" w:eastAsiaTheme="minorEastAsia" w:cstheme="minorBidi"/>
      <w:kern w:val="2"/>
      <w:sz w:val="21"/>
      <w:szCs w:val="24"/>
    </w:rPr>
  </w:style>
  <w:style w:type="character" w:customStyle="1" w:styleId="26">
    <w:name w:val="正文文本首行缩进 字符"/>
    <w:basedOn w:val="14"/>
    <w:link w:val="11"/>
    <w:qFormat/>
    <w:uiPriority w:val="0"/>
    <w:rPr>
      <w:rFonts w:asciiTheme="minorHAnsi" w:hAnsiTheme="minorHAnsi" w:eastAsiaTheme="minorEastAsia" w:cstheme="minorBidi"/>
      <w:kern w:val="2"/>
      <w:sz w:val="21"/>
      <w:szCs w:val="24"/>
    </w:rPr>
  </w:style>
  <w:style w:type="character" w:customStyle="1" w:styleId="27">
    <w:name w:val="标题 2 字符"/>
    <w:basedOn w:val="14"/>
    <w:link w:val="2"/>
    <w:semiHidden/>
    <w:qFormat/>
    <w:uiPriority w:val="0"/>
    <w:rPr>
      <w:rFonts w:asciiTheme="majorHAnsi" w:hAnsiTheme="majorHAnsi" w:eastAsiaTheme="majorEastAsia" w:cstheme="majorBidi"/>
      <w:b/>
      <w:bCs/>
      <w:kern w:val="2"/>
      <w:sz w:val="32"/>
      <w:szCs w:val="32"/>
    </w:rPr>
  </w:style>
  <w:style w:type="paragraph" w:customStyle="1" w:styleId="28">
    <w:name w:val="表格内容"/>
    <w:basedOn w:val="1"/>
    <w:qFormat/>
    <w:uiPriority w:val="0"/>
    <w:pPr>
      <w:adjustRightInd w:val="0"/>
      <w:snapToGrid w:val="0"/>
      <w:jc w:val="center"/>
    </w:pPr>
    <w:rPr>
      <w:rFonts w:ascii="仿宋_GB2312" w:eastAsia="仿宋_GB2312"/>
      <w:spacing w:val="-6"/>
      <w:szCs w:val="21"/>
    </w:rPr>
  </w:style>
  <w:style w:type="paragraph" w:customStyle="1" w:styleId="29">
    <w:name w:val="0正文"/>
    <w:basedOn w:val="11"/>
    <w:qFormat/>
    <w:uiPriority w:val="0"/>
    <w:pPr>
      <w:adjustRightInd w:val="0"/>
      <w:snapToGrid w:val="0"/>
      <w:spacing w:after="0" w:line="560" w:lineRule="exact"/>
      <w:ind w:firstLine="200" w:firstLineChars="200"/>
    </w:pPr>
    <w:rPr>
      <w:rFonts w:ascii="方正仿宋_GBK" w:hAnsi="方正仿宋_GBK" w:eastAsia="方正仿宋_GBK" w:cs="方正仿宋_GBK"/>
      <w:sz w:val="32"/>
      <w:szCs w:val="32"/>
      <w:lang w:eastAsia="zh-Hans"/>
    </w:rPr>
  </w:style>
  <w:style w:type="paragraph" w:styleId="30">
    <w:name w:val="List Paragraph"/>
    <w:basedOn w:val="1"/>
    <w:autoRedefine/>
    <w:qFormat/>
    <w:uiPriority w:val="34"/>
    <w:pPr>
      <w:ind w:firstLine="420" w:firstLineChars="200"/>
    </w:pPr>
  </w:style>
  <w:style w:type="character" w:customStyle="1" w:styleId="31">
    <w:name w:val="日期 字符"/>
    <w:basedOn w:val="14"/>
    <w:link w:val="7"/>
    <w:qFormat/>
    <w:uiPriority w:val="0"/>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12129</Words>
  <Characters>12805</Characters>
  <Lines>306</Lines>
  <Paragraphs>118</Paragraphs>
  <TotalTime>1</TotalTime>
  <ScaleCrop>false</ScaleCrop>
  <LinksUpToDate>false</LinksUpToDate>
  <CharactersWithSpaces>12805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2025-05-27T10:27:00Z</dcterms:created>
  <dc:creator>lvkekee</dc:creator>
  <cp:lastModifiedBy>王威</cp:lastModifiedBy>
  <cp:lastPrinted>2025-05-28T10:42:00Z</cp:lastPrinted>
  <dcterms:modified xsi:type="dcterms:W3CDTF">2025-05-31T01:53:12Z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2740D29BD9214AC9A443CBDE411F6958_13</vt:lpwstr>
  </property>
  <property fmtid="{D5CDD505-2E9C-101B-9397-08002B2CF9AE}" pid="4" name="KSOTemplateDocerSaveRecord">
    <vt:lpwstr>eyJoZGlkIjoiNTVkM2IzOGU2ZDk0MDczNWZmOTc3ZTYwZTc0NDFjMmQiLCJ1c2VySWQiOiIzNTE4NjgyNTIifQ==</vt:lpwstr>
  </property>
</Properties>
</file>