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88F91">
      <w:pPr>
        <w:spacing w:before="114" w:line="224" w:lineRule="auto"/>
        <w:jc w:val="center"/>
        <w:rPr>
          <w:rFonts w:ascii="Times New Roman" w:hAnsi="Times New Roman" w:eastAsia="Times New Roman" w:cs="Times New Roman"/>
          <w:b/>
          <w:bCs/>
          <w:spacing w:val="0"/>
          <w:sz w:val="32"/>
          <w:szCs w:val="32"/>
          <w:lang w:eastAsia="zh-CN"/>
        </w:rPr>
      </w:pPr>
      <w:r>
        <w:rPr>
          <w:rFonts w:ascii="Times New Roman" w:hAnsi="Times New Roman" w:eastAsia="Times New Roman" w:cs="Times New Roman"/>
          <w:b/>
          <w:bCs/>
          <w:spacing w:val="0"/>
          <w:sz w:val="32"/>
          <w:szCs w:val="32"/>
          <w:lang w:eastAsia="zh-CN"/>
        </w:rPr>
        <w:t>202</w:t>
      </w:r>
      <w:r>
        <w:rPr>
          <w:rFonts w:hint="eastAsia" w:ascii="Times New Roman" w:hAnsi="Times New Roman" w:eastAsia="Times New Roman" w:cs="Times New Roman"/>
          <w:b/>
          <w:bCs/>
          <w:spacing w:val="0"/>
          <w:sz w:val="32"/>
          <w:szCs w:val="32"/>
          <w:lang w:val="en-US" w:eastAsia="zh-CN"/>
        </w:rPr>
        <w:t>5</w:t>
      </w:r>
      <w:r>
        <w:rPr>
          <w:rFonts w:ascii="Times New Roman" w:hAnsi="Times New Roman" w:eastAsia="Times New Roman" w:cs="Times New Roman"/>
          <w:b/>
          <w:bCs/>
          <w:spacing w:val="0"/>
          <w:sz w:val="32"/>
          <w:szCs w:val="32"/>
          <w:lang w:eastAsia="zh-CN"/>
        </w:rPr>
        <w:t>年度广东省科学技术奖公示表</w:t>
      </w:r>
    </w:p>
    <w:p w14:paraId="0C1C816A">
      <w:pPr>
        <w:spacing w:before="114" w:line="224" w:lineRule="auto"/>
        <w:jc w:val="center"/>
        <w:rPr>
          <w:rFonts w:hint="eastAsia" w:ascii="Times New Roman" w:hAnsi="Times New Roman" w:eastAsia="Times New Roman" w:cs="Times New Roman"/>
          <w:b/>
          <w:bCs/>
          <w:spacing w:val="0"/>
          <w:sz w:val="32"/>
          <w:szCs w:val="32"/>
          <w:lang w:eastAsia="zh-CN"/>
        </w:rPr>
      </w:pPr>
      <w:r>
        <w:rPr>
          <w:rFonts w:ascii="Times New Roman" w:hAnsi="Times New Roman" w:eastAsia="Times New Roman" w:cs="Times New Roman"/>
          <w:b/>
          <w:bCs/>
          <w:spacing w:val="0"/>
          <w:sz w:val="32"/>
          <w:szCs w:val="32"/>
          <w:lang w:eastAsia="zh-CN"/>
        </w:rPr>
        <w:t>（科技进步奖）</w:t>
      </w:r>
    </w:p>
    <w:tbl>
      <w:tblPr>
        <w:tblStyle w:val="4"/>
        <w:tblW w:w="97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6"/>
        <w:gridCol w:w="8393"/>
      </w:tblGrid>
      <w:tr w14:paraId="24C2F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346" w:type="dxa"/>
            <w:shd w:val="clear" w:color="auto" w:fill="auto"/>
            <w:vAlign w:val="center"/>
          </w:tcPr>
          <w:p w14:paraId="16DF48EE">
            <w:pPr>
              <w:spacing w:before="40" w:line="236" w:lineRule="auto"/>
              <w:ind w:left="715" w:leftChars="0" w:right="108" w:rightChars="0" w:hanging="584" w:firstLineChars="0"/>
              <w:jc w:val="center"/>
              <w:rPr>
                <w:rFonts w:ascii="仿宋" w:hAnsi="仿宋" w:eastAsia="仿宋" w:cs="仿宋"/>
                <w:b/>
                <w:bCs/>
                <w:spacing w:val="-6"/>
                <w:sz w:val="20"/>
                <w:szCs w:val="20"/>
              </w:rPr>
            </w:pPr>
            <w:r>
              <w:rPr>
                <w:rFonts w:ascii="仿宋" w:hAnsi="仿宋" w:eastAsia="仿宋" w:cs="仿宋"/>
                <w:b/>
                <w:bCs/>
                <w:spacing w:val="-6"/>
                <w:sz w:val="20"/>
                <w:szCs w:val="20"/>
              </w:rPr>
              <w:t>学科、</w:t>
            </w:r>
          </w:p>
          <w:p w14:paraId="2336E26F">
            <w:pPr>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napToGrid w:val="0"/>
                <w:color w:val="000000"/>
                <w:kern w:val="0"/>
                <w:sz w:val="24"/>
                <w:szCs w:val="24"/>
                <w:lang w:val="en-US" w:eastAsia="en-US" w:bidi="ar-SA"/>
              </w:rPr>
            </w:pPr>
            <w:r>
              <w:rPr>
                <w:rFonts w:ascii="仿宋" w:hAnsi="仿宋" w:eastAsia="仿宋" w:cs="仿宋"/>
                <w:b/>
                <w:bCs/>
                <w:spacing w:val="-6"/>
                <w:sz w:val="20"/>
                <w:szCs w:val="20"/>
              </w:rPr>
              <w:t>专业评审</w:t>
            </w:r>
            <w:r>
              <w:rPr>
                <w:rFonts w:ascii="仿宋" w:hAnsi="仿宋" w:eastAsia="仿宋" w:cs="仿宋"/>
                <w:b/>
                <w:bCs/>
                <w:spacing w:val="-3"/>
                <w:sz w:val="20"/>
                <w:szCs w:val="20"/>
              </w:rPr>
              <w:t>组</w:t>
            </w:r>
          </w:p>
        </w:tc>
        <w:tc>
          <w:tcPr>
            <w:tcW w:w="8393" w:type="dxa"/>
            <w:shd w:val="clear" w:color="auto" w:fill="auto"/>
            <w:vAlign w:val="center"/>
          </w:tcPr>
          <w:p w14:paraId="24C9203B">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napToGrid w:val="0"/>
                <w:color w:val="000000"/>
                <w:kern w:val="0"/>
                <w:sz w:val="24"/>
                <w:szCs w:val="24"/>
                <w:lang w:val="en-US" w:eastAsia="zh-CN" w:bidi="ar-SA"/>
              </w:rPr>
            </w:pPr>
            <w:r>
              <w:rPr>
                <w:rFonts w:hint="default" w:ascii="Times New Roman" w:hAnsi="Times New Roman" w:eastAsia="仿宋" w:cs="Times New Roman"/>
                <w:spacing w:val="-1"/>
                <w:sz w:val="22"/>
                <w:szCs w:val="22"/>
                <w:lang w:eastAsia="zh-CN"/>
              </w:rPr>
              <w:t>林</w:t>
            </w:r>
            <w:r>
              <w:rPr>
                <w:rFonts w:hint="eastAsia" w:ascii="Times New Roman" w:hAnsi="Times New Roman" w:eastAsia="仿宋" w:cs="Times New Roman"/>
                <w:spacing w:val="-1"/>
                <w:sz w:val="22"/>
                <w:szCs w:val="22"/>
                <w:lang w:val="en-US" w:eastAsia="zh-CN"/>
              </w:rPr>
              <w:t>学</w:t>
            </w:r>
            <w:r>
              <w:rPr>
                <w:rFonts w:hint="default" w:ascii="Times New Roman" w:hAnsi="Times New Roman" w:eastAsia="仿宋" w:cs="Times New Roman"/>
                <w:spacing w:val="-1"/>
                <w:sz w:val="22"/>
                <w:szCs w:val="22"/>
                <w:lang w:eastAsia="zh-CN"/>
              </w:rPr>
              <w:t>、林业专业评审组</w:t>
            </w:r>
          </w:p>
        </w:tc>
      </w:tr>
      <w:tr w14:paraId="6B6B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346" w:type="dxa"/>
            <w:shd w:val="clear" w:color="auto" w:fill="auto"/>
            <w:vAlign w:val="center"/>
          </w:tcPr>
          <w:p w14:paraId="0205D423">
            <w:pPr>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pacing w:val="4"/>
                <w:sz w:val="24"/>
                <w:szCs w:val="24"/>
              </w:rPr>
              <w:t>项目名称</w:t>
            </w:r>
          </w:p>
        </w:tc>
        <w:tc>
          <w:tcPr>
            <w:tcW w:w="8393" w:type="dxa"/>
            <w:shd w:val="clear" w:color="auto" w:fill="auto"/>
            <w:vAlign w:val="center"/>
          </w:tcPr>
          <w:p w14:paraId="03B6B975">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b/>
                <w:bCs/>
                <w:color w:val="auto"/>
                <w:sz w:val="24"/>
                <w:szCs w:val="24"/>
                <w:lang w:val="en-US" w:eastAsia="zh-CN"/>
              </w:rPr>
              <w:t>龙脑型阴香等良种分子选育与高值化利用关键技术</w:t>
            </w:r>
          </w:p>
        </w:tc>
      </w:tr>
      <w:tr w14:paraId="2DCB5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346" w:type="dxa"/>
            <w:shd w:val="clear" w:color="auto" w:fill="auto"/>
            <w:vAlign w:val="center"/>
          </w:tcPr>
          <w:p w14:paraId="3F2FEB64">
            <w:pPr>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pacing w:val="3"/>
                <w:sz w:val="24"/>
                <w:szCs w:val="24"/>
              </w:rPr>
              <w:t>提名者</w:t>
            </w:r>
          </w:p>
        </w:tc>
        <w:tc>
          <w:tcPr>
            <w:tcW w:w="8393" w:type="dxa"/>
            <w:shd w:val="clear" w:color="auto" w:fill="auto"/>
            <w:vAlign w:val="center"/>
          </w:tcPr>
          <w:p w14:paraId="45042DFD">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val="en-US" w:eastAsia="zh-CN"/>
              </w:rPr>
              <w:t>广东省林业局</w:t>
            </w:r>
          </w:p>
        </w:tc>
      </w:tr>
      <w:tr w14:paraId="73276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46" w:type="dxa"/>
            <w:vMerge w:val="restart"/>
            <w:vAlign w:val="center"/>
          </w:tcPr>
          <w:p w14:paraId="788CD03C">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p w14:paraId="01BF08D8">
            <w:pPr>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b/>
                <w:bCs/>
                <w:spacing w:val="5"/>
                <w:sz w:val="24"/>
                <w:szCs w:val="24"/>
              </w:rPr>
            </w:pPr>
            <w:r>
              <w:rPr>
                <w:rFonts w:hint="eastAsia" w:ascii="仿宋" w:hAnsi="仿宋" w:eastAsia="仿宋" w:cs="仿宋"/>
                <w:b/>
                <w:bCs/>
                <w:spacing w:val="5"/>
                <w:sz w:val="24"/>
                <w:szCs w:val="24"/>
              </w:rPr>
              <w:t>主要完成</w:t>
            </w:r>
          </w:p>
          <w:p w14:paraId="064A384B">
            <w:pPr>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lang w:eastAsia="zh-CN"/>
              </w:rPr>
            </w:pPr>
            <w:r>
              <w:rPr>
                <w:rFonts w:hint="eastAsia" w:ascii="仿宋" w:hAnsi="仿宋" w:eastAsia="仿宋" w:cs="仿宋"/>
                <w:b/>
                <w:bCs/>
                <w:spacing w:val="5"/>
                <w:sz w:val="24"/>
                <w:szCs w:val="24"/>
              </w:rPr>
              <w:t>单位</w:t>
            </w:r>
          </w:p>
        </w:tc>
        <w:tc>
          <w:tcPr>
            <w:tcW w:w="8393" w:type="dxa"/>
            <w:vAlign w:val="center"/>
          </w:tcPr>
          <w:p w14:paraId="3C9545B7">
            <w:pPr>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z w:val="24"/>
                <w:szCs w:val="24"/>
              </w:rPr>
            </w:pPr>
            <w:r>
              <w:rPr>
                <w:rFonts w:hint="eastAsia" w:ascii="仿宋" w:hAnsi="仿宋" w:eastAsia="仿宋" w:cs="仿宋"/>
                <w:b/>
                <w:bCs/>
                <w:sz w:val="24"/>
                <w:szCs w:val="24"/>
                <w:lang w:val="en-US" w:eastAsia="zh-CN"/>
              </w:rPr>
              <w:t xml:space="preserve">单位1 </w:t>
            </w:r>
            <w:r>
              <w:rPr>
                <w:rFonts w:hint="eastAsia" w:ascii="仿宋" w:hAnsi="仿宋" w:eastAsia="仿宋" w:cs="仿宋"/>
                <w:b/>
                <w:bCs/>
                <w:sz w:val="24"/>
                <w:szCs w:val="24"/>
              </w:rPr>
              <w:t>广东省林业科学研究院</w:t>
            </w:r>
          </w:p>
        </w:tc>
      </w:tr>
      <w:tr w14:paraId="26B4D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46" w:type="dxa"/>
            <w:vMerge w:val="continue"/>
            <w:vAlign w:val="center"/>
          </w:tcPr>
          <w:p w14:paraId="7A72C947">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6CC2E9D5">
            <w:pPr>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 xml:space="preserve">单位2 </w:t>
            </w:r>
            <w:r>
              <w:rPr>
                <w:rFonts w:hint="eastAsia" w:ascii="仿宋" w:hAnsi="仿宋" w:eastAsia="仿宋" w:cs="仿宋"/>
                <w:spacing w:val="-1"/>
                <w:sz w:val="24"/>
                <w:szCs w:val="24"/>
              </w:rPr>
              <w:t>华南理工大学</w:t>
            </w:r>
          </w:p>
        </w:tc>
      </w:tr>
      <w:tr w14:paraId="3490E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346" w:type="dxa"/>
            <w:vMerge w:val="continue"/>
            <w:vAlign w:val="center"/>
          </w:tcPr>
          <w:p w14:paraId="5FB8FF4B">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524C2977">
            <w:pPr>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 xml:space="preserve">单位3 </w:t>
            </w:r>
            <w:r>
              <w:rPr>
                <w:rFonts w:hint="eastAsia" w:ascii="仿宋" w:hAnsi="仿宋" w:eastAsia="仿宋" w:cs="仿宋"/>
                <w:sz w:val="24"/>
                <w:szCs w:val="24"/>
              </w:rPr>
              <w:t>广东华清园生物科技有限公司</w:t>
            </w:r>
          </w:p>
        </w:tc>
      </w:tr>
      <w:tr w14:paraId="1EFD1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346" w:type="dxa"/>
            <w:vMerge w:val="continue"/>
            <w:vAlign w:val="center"/>
          </w:tcPr>
          <w:p w14:paraId="3A55422E">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30E99DCB">
            <w:pPr>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 xml:space="preserve">单位4 </w:t>
            </w:r>
            <w:r>
              <w:rPr>
                <w:rFonts w:hint="eastAsia" w:ascii="仿宋" w:hAnsi="仿宋" w:eastAsia="仿宋" w:cs="仿宋"/>
                <w:sz w:val="24"/>
                <w:szCs w:val="24"/>
              </w:rPr>
              <w:t>北京林业大学</w:t>
            </w:r>
          </w:p>
        </w:tc>
      </w:tr>
      <w:tr w14:paraId="0E23D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346" w:type="dxa"/>
            <w:vMerge w:val="continue"/>
            <w:vAlign w:val="center"/>
          </w:tcPr>
          <w:p w14:paraId="411D8BD0">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345817B9">
            <w:pPr>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单位5</w:t>
            </w:r>
            <w:bookmarkStart w:id="0" w:name="OLE_LINK3"/>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中新国际联合研究院</w:t>
            </w:r>
            <w:bookmarkEnd w:id="0"/>
          </w:p>
        </w:tc>
      </w:tr>
      <w:tr w14:paraId="126AA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346" w:type="dxa"/>
            <w:vMerge w:val="continue"/>
            <w:vAlign w:val="center"/>
          </w:tcPr>
          <w:p w14:paraId="687FB20D">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14186AF3">
            <w:pPr>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 xml:space="preserve">单位6 </w:t>
            </w:r>
            <w:r>
              <w:rPr>
                <w:rFonts w:hint="eastAsia" w:ascii="仿宋" w:hAnsi="仿宋" w:eastAsia="仿宋" w:cs="仿宋"/>
                <w:sz w:val="24"/>
                <w:szCs w:val="24"/>
              </w:rPr>
              <w:t>华工新颜（深圳）科技有限公司</w:t>
            </w:r>
          </w:p>
        </w:tc>
      </w:tr>
      <w:tr w14:paraId="231BC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346" w:type="dxa"/>
            <w:vMerge w:val="continue"/>
            <w:vAlign w:val="center"/>
          </w:tcPr>
          <w:p w14:paraId="21602EE2">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09E47DA4">
            <w:pPr>
              <w:keepNext w:val="0"/>
              <w:keepLines w:val="0"/>
              <w:pageBreakBefore w:val="0"/>
              <w:widowControl/>
              <w:kinsoku w:val="0"/>
              <w:wordWrap/>
              <w:overflowPunct/>
              <w:topLinePunct w:val="0"/>
              <w:autoSpaceDE w:val="0"/>
              <w:autoSpaceDN w:val="0"/>
              <w:bidi w:val="0"/>
              <w:adjustRightInd w:val="0"/>
              <w:snapToGrid w:val="0"/>
              <w:spacing w:line="240" w:lineRule="auto"/>
              <w:ind w:left="107" w:leftChars="51"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 xml:space="preserve">单位7 </w:t>
            </w:r>
            <w:r>
              <w:rPr>
                <w:rFonts w:hint="eastAsia" w:ascii="仿宋" w:hAnsi="仿宋" w:eastAsia="仿宋" w:cs="仿宋"/>
                <w:sz w:val="24"/>
                <w:szCs w:val="24"/>
              </w:rPr>
              <w:t>信宜市林业科学研究所</w:t>
            </w:r>
          </w:p>
        </w:tc>
      </w:tr>
      <w:tr w14:paraId="2A0C3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1346" w:type="dxa"/>
            <w:vMerge w:val="restart"/>
            <w:vAlign w:val="center"/>
          </w:tcPr>
          <w:p w14:paraId="33D7E3D8">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p w14:paraId="7D5D585C">
            <w:pPr>
              <w:keepNext w:val="0"/>
              <w:keepLines w:val="0"/>
              <w:pageBreakBefore w:val="0"/>
              <w:widowControl/>
              <w:kinsoku w:val="0"/>
              <w:wordWrap/>
              <w:overflowPunct/>
              <w:topLinePunct w:val="0"/>
              <w:autoSpaceDE w:val="0"/>
              <w:autoSpaceDN w:val="0"/>
              <w:bidi w:val="0"/>
              <w:adjustRightInd w:val="0"/>
              <w:snapToGrid w:val="0"/>
              <w:spacing w:line="240" w:lineRule="auto"/>
              <w:ind w:right="52"/>
              <w:jc w:val="center"/>
              <w:rPr>
                <w:rFonts w:hint="eastAsia" w:ascii="仿宋" w:hAnsi="仿宋" w:eastAsia="仿宋" w:cs="仿宋"/>
                <w:sz w:val="24"/>
                <w:szCs w:val="24"/>
              </w:rPr>
            </w:pPr>
            <w:r>
              <w:rPr>
                <w:rFonts w:hint="eastAsia" w:ascii="仿宋" w:hAnsi="仿宋" w:eastAsia="仿宋" w:cs="仿宋"/>
                <w:b/>
                <w:bCs/>
                <w:spacing w:val="4"/>
                <w:sz w:val="24"/>
                <w:szCs w:val="24"/>
              </w:rPr>
              <w:t>主要完成人</w:t>
            </w:r>
            <w:r>
              <w:rPr>
                <w:rFonts w:hint="eastAsia" w:ascii="仿宋" w:hAnsi="仿宋" w:eastAsia="仿宋" w:cs="仿宋"/>
                <w:sz w:val="24"/>
                <w:szCs w:val="24"/>
              </w:rPr>
              <w:t xml:space="preserve">   </w:t>
            </w:r>
            <w:r>
              <w:rPr>
                <w:rFonts w:hint="eastAsia" w:ascii="仿宋" w:hAnsi="仿宋" w:eastAsia="仿宋" w:cs="仿宋"/>
                <w:b/>
                <w:bCs/>
                <w:spacing w:val="-5"/>
                <w:sz w:val="24"/>
                <w:szCs w:val="24"/>
              </w:rPr>
              <w:t>（职称</w:t>
            </w:r>
            <w:r>
              <w:rPr>
                <w:rFonts w:hint="eastAsia" w:ascii="仿宋" w:hAnsi="仿宋" w:eastAsia="仿宋" w:cs="仿宋"/>
                <w:b/>
                <w:bCs/>
                <w:spacing w:val="-5"/>
                <w:sz w:val="24"/>
                <w:szCs w:val="24"/>
                <w:lang w:eastAsia="zh-CN"/>
              </w:rPr>
              <w:t>，</w:t>
            </w:r>
            <w:r>
              <w:rPr>
                <w:rFonts w:hint="eastAsia" w:ascii="仿宋" w:hAnsi="仿宋" w:eastAsia="仿宋" w:cs="仿宋"/>
                <w:b/>
                <w:bCs/>
                <w:spacing w:val="-5"/>
                <w:sz w:val="24"/>
                <w:szCs w:val="24"/>
              </w:rPr>
              <w:t>完成单</w:t>
            </w:r>
            <w:r>
              <w:rPr>
                <w:rFonts w:hint="eastAsia" w:ascii="仿宋" w:hAnsi="仿宋" w:eastAsia="仿宋" w:cs="仿宋"/>
                <w:b/>
                <w:bCs/>
                <w:spacing w:val="3"/>
                <w:sz w:val="24"/>
                <w:szCs w:val="24"/>
              </w:rPr>
              <w:t>位</w:t>
            </w:r>
            <w:r>
              <w:rPr>
                <w:rFonts w:hint="eastAsia" w:ascii="仿宋" w:hAnsi="仿宋" w:eastAsia="仿宋" w:cs="仿宋"/>
                <w:b/>
                <w:bCs/>
                <w:spacing w:val="3"/>
                <w:sz w:val="24"/>
                <w:szCs w:val="24"/>
                <w:lang w:eastAsia="zh-CN"/>
              </w:rPr>
              <w:t>，</w:t>
            </w:r>
            <w:r>
              <w:rPr>
                <w:rFonts w:hint="eastAsia" w:ascii="仿宋" w:hAnsi="仿宋" w:eastAsia="仿宋" w:cs="仿宋"/>
                <w:b/>
                <w:bCs/>
                <w:spacing w:val="3"/>
                <w:sz w:val="24"/>
                <w:szCs w:val="24"/>
              </w:rPr>
              <w:t>工作单位）</w:t>
            </w:r>
          </w:p>
        </w:tc>
        <w:tc>
          <w:tcPr>
            <w:tcW w:w="8393" w:type="dxa"/>
            <w:vAlign w:val="center"/>
          </w:tcPr>
          <w:p w14:paraId="1FC73011">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eastAsia="zh-CN"/>
              </w:rPr>
            </w:pPr>
            <w:r>
              <w:rPr>
                <w:rFonts w:hint="eastAsia" w:ascii="仿宋" w:hAnsi="仿宋" w:eastAsia="仿宋" w:cs="仿宋"/>
                <w:spacing w:val="7"/>
                <w:sz w:val="24"/>
                <w:szCs w:val="24"/>
              </w:rPr>
              <w:t>张谦（</w:t>
            </w:r>
            <w:r>
              <w:rPr>
                <w:rFonts w:hint="eastAsia" w:ascii="仿宋" w:hAnsi="仿宋" w:eastAsia="仿宋" w:cs="仿宋"/>
                <w:spacing w:val="0"/>
                <w:sz w:val="24"/>
                <w:szCs w:val="24"/>
              </w:rPr>
              <w:t>职称：</w:t>
            </w:r>
            <w:r>
              <w:rPr>
                <w:rFonts w:hint="eastAsia" w:ascii="仿宋" w:hAnsi="仿宋" w:eastAsia="仿宋" w:cs="仿宋"/>
                <w:spacing w:val="7"/>
                <w:sz w:val="24"/>
                <w:szCs w:val="24"/>
                <w:lang w:val="en-US" w:eastAsia="zh-CN"/>
              </w:rPr>
              <w:t>研究员</w:t>
            </w:r>
            <w:r>
              <w:rPr>
                <w:rFonts w:hint="eastAsia" w:ascii="仿宋" w:hAnsi="仿宋" w:eastAsia="仿宋" w:cs="仿宋"/>
                <w:spacing w:val="7"/>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7"/>
                <w:sz w:val="24"/>
                <w:szCs w:val="24"/>
              </w:rPr>
              <w:t>，</w:t>
            </w:r>
            <w:r>
              <w:rPr>
                <w:rFonts w:hint="eastAsia" w:ascii="仿宋" w:hAnsi="仿宋" w:eastAsia="仿宋" w:cs="仿宋"/>
                <w:spacing w:val="0"/>
                <w:sz w:val="24"/>
                <w:szCs w:val="24"/>
              </w:rPr>
              <w:t>主要贡献：</w:t>
            </w:r>
            <w:r>
              <w:rPr>
                <w:rFonts w:hint="eastAsia" w:ascii="仿宋" w:hAnsi="仿宋" w:eastAsia="仿宋" w:cs="仿宋"/>
                <w:spacing w:val="7"/>
                <w:sz w:val="24"/>
                <w:szCs w:val="24"/>
                <w:lang w:val="en-US" w:eastAsia="zh-CN"/>
              </w:rPr>
              <w:t>系统开展龙脑型阴香和樟树新品系分子选育技术研究，解析了萜类合成关键基因功能与右旋龙脑合成代谢调控网络，开发了龙脑型阴香和樟树快速检测技术。</w:t>
            </w:r>
          </w:p>
        </w:tc>
      </w:tr>
      <w:tr w14:paraId="5CFB1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675F2C3B">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5308EAE9">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rPr>
            </w:pPr>
            <w:r>
              <w:rPr>
                <w:rFonts w:hint="eastAsia" w:ascii="仿宋" w:hAnsi="仿宋" w:eastAsia="仿宋" w:cs="仿宋"/>
                <w:spacing w:val="8"/>
                <w:sz w:val="24"/>
                <w:szCs w:val="24"/>
              </w:rPr>
              <w:t>苏健裕</w:t>
            </w:r>
            <w:r>
              <w:rPr>
                <w:rFonts w:hint="eastAsia" w:ascii="仿宋" w:hAnsi="仿宋" w:eastAsia="仿宋" w:cs="仿宋"/>
                <w:spacing w:val="8"/>
                <w:sz w:val="24"/>
                <w:szCs w:val="24"/>
                <w:lang w:eastAsia="zh-CN"/>
              </w:rPr>
              <w:t>（</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正</w:t>
            </w:r>
            <w:r>
              <w:rPr>
                <w:rFonts w:hint="eastAsia" w:ascii="仿宋" w:hAnsi="仿宋" w:eastAsia="仿宋" w:cs="仿宋"/>
                <w:sz w:val="24"/>
                <w:szCs w:val="24"/>
              </w:rPr>
              <w:t>高级工程师</w:t>
            </w:r>
            <w:r>
              <w:rPr>
                <w:rFonts w:hint="eastAsia" w:ascii="仿宋" w:hAnsi="仿宋" w:eastAsia="仿宋" w:cs="仿宋"/>
                <w:sz w:val="24"/>
                <w:szCs w:val="24"/>
                <w:lang w:eastAsia="zh-CN"/>
              </w:rPr>
              <w:t>（</w:t>
            </w:r>
            <w:r>
              <w:rPr>
                <w:rFonts w:hint="eastAsia" w:ascii="仿宋" w:hAnsi="仿宋" w:eastAsia="仿宋" w:cs="仿宋"/>
                <w:sz w:val="24"/>
                <w:szCs w:val="24"/>
              </w:rPr>
              <w:t>教授级</w:t>
            </w:r>
            <w:r>
              <w:rPr>
                <w:rFonts w:hint="eastAsia" w:ascii="仿宋" w:hAnsi="仿宋" w:eastAsia="仿宋" w:cs="仿宋"/>
                <w:sz w:val="24"/>
                <w:szCs w:val="24"/>
                <w:lang w:eastAsia="zh-CN"/>
              </w:rPr>
              <w:t>）</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pacing w:val="8"/>
                <w:sz w:val="24"/>
                <w:szCs w:val="24"/>
                <w:lang w:val="en-US" w:eastAsia="zh-CN"/>
              </w:rPr>
              <w:t>华南理工大学，</w:t>
            </w:r>
            <w:r>
              <w:rPr>
                <w:rFonts w:hint="eastAsia" w:ascii="仿宋" w:hAnsi="仿宋" w:eastAsia="仿宋" w:cs="仿宋"/>
                <w:sz w:val="24"/>
                <w:szCs w:val="24"/>
                <w:lang w:val="en-US" w:eastAsia="zh-CN"/>
              </w:rPr>
              <w:t>工作单位：</w:t>
            </w:r>
            <w:r>
              <w:rPr>
                <w:rFonts w:hint="eastAsia" w:ascii="仿宋" w:hAnsi="仿宋" w:eastAsia="仿宋" w:cs="仿宋"/>
                <w:spacing w:val="8"/>
                <w:sz w:val="24"/>
                <w:szCs w:val="24"/>
                <w:lang w:val="en-US" w:eastAsia="zh-CN"/>
              </w:rPr>
              <w:t>华南理工大学），</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研发龙脑精油高效提取技术和高纯度</w:t>
            </w:r>
            <w:r>
              <w:rPr>
                <w:rFonts w:hint="eastAsia" w:ascii="仿宋" w:hAnsi="仿宋" w:eastAsia="仿宋" w:cs="仿宋"/>
                <w:spacing w:val="7"/>
                <w:sz w:val="24"/>
                <w:szCs w:val="24"/>
                <w:lang w:val="en-US" w:eastAsia="zh-CN"/>
              </w:rPr>
              <w:t>右旋龙脑制备技术，揭示右旋龙脑</w:t>
            </w:r>
            <w:r>
              <w:rPr>
                <w:rFonts w:hint="eastAsia" w:ascii="仿宋" w:hAnsi="仿宋" w:eastAsia="仿宋" w:cs="仿宋"/>
                <w:spacing w:val="7"/>
                <w:sz w:val="24"/>
                <w:szCs w:val="24"/>
                <w:lang w:eastAsia="zh-CN"/>
              </w:rPr>
              <w:t>促渗增效分子机制。</w:t>
            </w:r>
          </w:p>
        </w:tc>
      </w:tr>
      <w:tr w14:paraId="723FB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67B5A0EA">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05C33BF6">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60" w:lineRule="exact"/>
              <w:ind w:left="107" w:leftChars="51"/>
              <w:jc w:val="left"/>
              <w:textAlignment w:val="baseline"/>
              <w:rPr>
                <w:rFonts w:hint="eastAsia" w:ascii="仿宋" w:hAnsi="仿宋" w:eastAsia="仿宋" w:cs="仿宋"/>
                <w:sz w:val="24"/>
                <w:szCs w:val="24"/>
              </w:rPr>
            </w:pPr>
            <w:r>
              <w:rPr>
                <w:rFonts w:hint="eastAsia" w:ascii="仿宋" w:hAnsi="仿宋" w:eastAsia="仿宋" w:cs="仿宋"/>
                <w:spacing w:val="8"/>
                <w:sz w:val="24"/>
                <w:szCs w:val="24"/>
              </w:rPr>
              <w:t>蔡燕灵（</w:t>
            </w:r>
            <w:r>
              <w:rPr>
                <w:rFonts w:hint="eastAsia" w:ascii="仿宋" w:hAnsi="仿宋" w:eastAsia="仿宋" w:cs="仿宋"/>
                <w:spacing w:val="0"/>
                <w:sz w:val="24"/>
                <w:szCs w:val="24"/>
              </w:rPr>
              <w:t>职称：</w:t>
            </w:r>
            <w:r>
              <w:rPr>
                <w:rFonts w:hint="eastAsia" w:ascii="仿宋" w:hAnsi="仿宋" w:eastAsia="仿宋" w:cs="仿宋"/>
                <w:sz w:val="24"/>
                <w:szCs w:val="24"/>
              </w:rPr>
              <w:t>研究员</w:t>
            </w:r>
            <w:r>
              <w:rPr>
                <w:rFonts w:hint="eastAsia" w:ascii="仿宋" w:hAnsi="仿宋" w:eastAsia="仿宋" w:cs="仿宋"/>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z w:val="24"/>
                <w:szCs w:val="24"/>
                <w:lang w:val="en-US" w:eastAsia="zh-CN"/>
              </w:rPr>
              <w:t>开展种质资源鉴评和无性系产量，精油品质测试，</w:t>
            </w:r>
            <w:r>
              <w:rPr>
                <w:rFonts w:hint="eastAsia" w:ascii="仿宋" w:hAnsi="仿宋" w:eastAsia="仿宋" w:cs="仿宋"/>
                <w:spacing w:val="8"/>
                <w:sz w:val="24"/>
                <w:szCs w:val="24"/>
                <w:lang w:val="en-US" w:eastAsia="zh-CN"/>
              </w:rPr>
              <w:t>选育出龙脑型阴香和樟树优良无性系。</w:t>
            </w:r>
          </w:p>
        </w:tc>
      </w:tr>
      <w:tr w14:paraId="3EB37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2EFC797E">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55FDCBDB">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8"/>
                <w:sz w:val="24"/>
                <w:szCs w:val="24"/>
              </w:rPr>
              <w:t>侯晨（</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副研究员</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pacing w:val="7"/>
                <w:sz w:val="24"/>
                <w:szCs w:val="24"/>
                <w:lang w:val="en-US" w:eastAsia="zh-CN"/>
              </w:rPr>
              <w:t>揭示了阴香不同化学型地理分布特征及其种质适生区时序演变规律，利用多组学技术研究</w:t>
            </w:r>
            <w:r>
              <w:rPr>
                <w:rFonts w:hint="eastAsia" w:ascii="仿宋" w:hAnsi="仿宋" w:eastAsia="仿宋" w:cs="仿宋"/>
                <w:sz w:val="24"/>
                <w:szCs w:val="24"/>
                <w:lang w:val="en-US" w:eastAsia="zh-CN"/>
              </w:rPr>
              <w:t>发现了右旋龙脑合成代谢与光合作用路径的偶联机制，制定标准《龙脑型阴香精油》。</w:t>
            </w:r>
          </w:p>
        </w:tc>
      </w:tr>
      <w:tr w14:paraId="3C01F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1346" w:type="dxa"/>
            <w:vMerge w:val="continue"/>
            <w:vAlign w:val="center"/>
          </w:tcPr>
          <w:p w14:paraId="73483800">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06D1F1F0">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8"/>
                <w:sz w:val="24"/>
                <w:szCs w:val="24"/>
              </w:rPr>
              <w:t>连辉明（</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正</w:t>
            </w:r>
            <w:r>
              <w:rPr>
                <w:rFonts w:hint="eastAsia" w:ascii="仿宋" w:hAnsi="仿宋" w:eastAsia="仿宋" w:cs="仿宋"/>
                <w:sz w:val="24"/>
                <w:szCs w:val="24"/>
              </w:rPr>
              <w:t>高级工程师</w:t>
            </w:r>
            <w:r>
              <w:rPr>
                <w:rFonts w:hint="eastAsia" w:ascii="仿宋" w:hAnsi="仿宋" w:eastAsia="仿宋" w:cs="仿宋"/>
                <w:sz w:val="24"/>
                <w:szCs w:val="24"/>
                <w:lang w:eastAsia="zh-CN"/>
              </w:rPr>
              <w:t>（</w:t>
            </w:r>
            <w:r>
              <w:rPr>
                <w:rFonts w:hint="eastAsia" w:ascii="仿宋" w:hAnsi="仿宋" w:eastAsia="仿宋" w:cs="仿宋"/>
                <w:sz w:val="24"/>
                <w:szCs w:val="24"/>
              </w:rPr>
              <w:t>教授级</w:t>
            </w:r>
            <w:r>
              <w:rPr>
                <w:rFonts w:hint="eastAsia" w:ascii="仿宋" w:hAnsi="仿宋" w:eastAsia="仿宋" w:cs="仿宋"/>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揭示精油和右旋龙脑累积年度动态变化规律，研究集成高效栽培与采收提取技术。</w:t>
            </w:r>
          </w:p>
        </w:tc>
      </w:tr>
      <w:tr w14:paraId="7FC2D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3C7012F1">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090E442E">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8"/>
                <w:sz w:val="24"/>
                <w:szCs w:val="24"/>
                <w:lang w:val="en-US" w:eastAsia="zh-CN"/>
              </w:rPr>
              <w:t>姚燕飞</w:t>
            </w:r>
            <w:r>
              <w:rPr>
                <w:rFonts w:hint="eastAsia" w:ascii="仿宋" w:hAnsi="仿宋" w:eastAsia="仿宋" w:cs="仿宋"/>
                <w:spacing w:val="8"/>
                <w:sz w:val="24"/>
                <w:szCs w:val="24"/>
              </w:rPr>
              <w:t>（</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工程师</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pacing w:val="8"/>
                <w:sz w:val="24"/>
                <w:szCs w:val="24"/>
              </w:rPr>
              <w:t>广东华清园生物科技股份有限公司</w:t>
            </w:r>
            <w:r>
              <w:rPr>
                <w:rFonts w:hint="eastAsia" w:ascii="仿宋" w:hAnsi="仿宋" w:eastAsia="仿宋" w:cs="仿宋"/>
                <w:spacing w:val="8"/>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pacing w:val="8"/>
                <w:sz w:val="24"/>
                <w:szCs w:val="24"/>
              </w:rPr>
              <w:t>广东华清园生物科技股份有限公司</w:t>
            </w:r>
            <w:r>
              <w:rPr>
                <w:rFonts w:hint="eastAsia" w:ascii="仿宋" w:hAnsi="仿宋" w:eastAsia="仿宋" w:cs="仿宋"/>
                <w:spacing w:val="8"/>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主要参与龙脑型阴香枝叶新原料和高附加值产品的开发与推广。</w:t>
            </w:r>
          </w:p>
        </w:tc>
      </w:tr>
      <w:tr w14:paraId="1701E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5076E012">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2BEC31E5">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8"/>
                <w:sz w:val="24"/>
                <w:szCs w:val="24"/>
              </w:rPr>
              <w:t>何波祥（</w:t>
            </w:r>
            <w:r>
              <w:rPr>
                <w:rFonts w:hint="eastAsia" w:ascii="仿宋" w:hAnsi="仿宋" w:eastAsia="仿宋" w:cs="仿宋"/>
                <w:spacing w:val="0"/>
                <w:sz w:val="24"/>
                <w:szCs w:val="24"/>
              </w:rPr>
              <w:t>职称：</w:t>
            </w:r>
            <w:r>
              <w:rPr>
                <w:rFonts w:hint="eastAsia" w:ascii="仿宋" w:hAnsi="仿宋" w:eastAsia="仿宋" w:cs="仿宋"/>
                <w:sz w:val="24"/>
                <w:szCs w:val="24"/>
              </w:rPr>
              <w:t>研究员</w:t>
            </w:r>
            <w:r>
              <w:rPr>
                <w:rFonts w:hint="eastAsia" w:ascii="仿宋" w:hAnsi="仿宋" w:eastAsia="仿宋" w:cs="仿宋"/>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z w:val="24"/>
                <w:szCs w:val="24"/>
                <w:lang w:val="en-US" w:eastAsia="zh-CN"/>
              </w:rPr>
              <w:t>收集资源，区划建设种质资源库，选育良种，</w:t>
            </w:r>
            <w:r>
              <w:rPr>
                <w:rFonts w:hint="eastAsia" w:ascii="仿宋" w:hAnsi="仿宋" w:eastAsia="仿宋" w:cs="仿宋"/>
                <w:spacing w:val="8"/>
                <w:sz w:val="24"/>
                <w:szCs w:val="24"/>
                <w:lang w:val="en-US" w:eastAsia="zh-CN"/>
              </w:rPr>
              <w:t>研发轻基质-菌肥育苗技术实现新优品系繁育产业化。</w:t>
            </w:r>
          </w:p>
        </w:tc>
      </w:tr>
      <w:tr w14:paraId="1D619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2A0F5270">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5A016799">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8"/>
                <w:sz w:val="24"/>
                <w:szCs w:val="24"/>
                <w:lang w:val="en-US" w:eastAsia="zh-CN"/>
              </w:rPr>
              <w:t>方立明（</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副研究员，</w:t>
            </w:r>
            <w:r>
              <w:rPr>
                <w:rFonts w:hint="eastAsia" w:ascii="仿宋" w:hAnsi="仿宋" w:eastAsia="仿宋" w:cs="仿宋"/>
                <w:spacing w:val="7"/>
                <w:sz w:val="24"/>
                <w:szCs w:val="24"/>
                <w:lang w:val="en-US" w:eastAsia="zh-CN"/>
              </w:rPr>
              <w:t>完成单位：</w:t>
            </w:r>
            <w:r>
              <w:rPr>
                <w:rFonts w:hint="eastAsia" w:ascii="仿宋" w:hAnsi="仿宋" w:eastAsia="仿宋" w:cs="仿宋"/>
                <w:spacing w:val="8"/>
                <w:sz w:val="24"/>
                <w:szCs w:val="24"/>
                <w:lang w:val="en-US" w:eastAsia="zh-CN"/>
              </w:rPr>
              <w:t>中新国际联合研究院，</w:t>
            </w:r>
            <w:r>
              <w:rPr>
                <w:rFonts w:hint="eastAsia" w:ascii="仿宋" w:hAnsi="仿宋" w:eastAsia="仿宋" w:cs="仿宋"/>
                <w:sz w:val="24"/>
                <w:szCs w:val="24"/>
                <w:lang w:val="en-US" w:eastAsia="zh-CN"/>
              </w:rPr>
              <w:t>工作单位：</w:t>
            </w:r>
            <w:r>
              <w:rPr>
                <w:rFonts w:hint="eastAsia" w:ascii="仿宋" w:hAnsi="仿宋" w:eastAsia="仿宋" w:cs="仿宋"/>
                <w:spacing w:val="8"/>
                <w:sz w:val="24"/>
                <w:szCs w:val="24"/>
                <w:lang w:val="en-US" w:eastAsia="zh-CN"/>
              </w:rPr>
              <w:t>华南理工大学），</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参与天然右旋龙脑系列利用技术研究，开发龙脑基聚合物等高新产品。</w:t>
            </w:r>
          </w:p>
        </w:tc>
      </w:tr>
      <w:tr w14:paraId="7527F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0FE2D7EC">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53C8F454">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8"/>
                <w:sz w:val="24"/>
                <w:szCs w:val="24"/>
              </w:rPr>
              <w:t>梁东成（</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正</w:t>
            </w:r>
            <w:r>
              <w:rPr>
                <w:rFonts w:hint="eastAsia" w:ascii="仿宋" w:hAnsi="仿宋" w:eastAsia="仿宋" w:cs="仿宋"/>
                <w:spacing w:val="8"/>
                <w:sz w:val="24"/>
                <w:szCs w:val="24"/>
              </w:rPr>
              <w:t>高级工程师</w:t>
            </w:r>
            <w:r>
              <w:rPr>
                <w:rFonts w:hint="eastAsia" w:ascii="仿宋" w:hAnsi="仿宋" w:eastAsia="仿宋" w:cs="仿宋"/>
                <w:sz w:val="24"/>
                <w:szCs w:val="24"/>
                <w:lang w:eastAsia="zh-CN"/>
              </w:rPr>
              <w:t>（</w:t>
            </w:r>
            <w:r>
              <w:rPr>
                <w:rFonts w:hint="eastAsia" w:ascii="仿宋" w:hAnsi="仿宋" w:eastAsia="仿宋" w:cs="仿宋"/>
                <w:sz w:val="24"/>
                <w:szCs w:val="24"/>
              </w:rPr>
              <w:t>教授级</w:t>
            </w:r>
            <w:r>
              <w:rPr>
                <w:rFonts w:hint="eastAsia" w:ascii="仿宋" w:hAnsi="仿宋" w:eastAsia="仿宋" w:cs="仿宋"/>
                <w:sz w:val="24"/>
                <w:szCs w:val="24"/>
                <w:lang w:eastAsia="zh-CN"/>
              </w:rPr>
              <w:t>）</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8"/>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主要参与种质资源调查与收集，种苗繁育，无性系测定与推广。</w:t>
            </w:r>
          </w:p>
        </w:tc>
      </w:tr>
      <w:tr w14:paraId="64F28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7059CDF7">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48F3900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8"/>
                <w:sz w:val="24"/>
                <w:szCs w:val="24"/>
                <w:lang w:val="en-US" w:eastAsia="zh-CN"/>
              </w:rPr>
              <w:t>10.修宇</w:t>
            </w:r>
            <w:r>
              <w:rPr>
                <w:rFonts w:hint="eastAsia" w:ascii="仿宋" w:hAnsi="仿宋" w:eastAsia="仿宋" w:cs="仿宋"/>
                <w:spacing w:val="8"/>
                <w:sz w:val="24"/>
                <w:szCs w:val="24"/>
              </w:rPr>
              <w:t>（</w:t>
            </w:r>
            <w:r>
              <w:rPr>
                <w:rFonts w:hint="eastAsia" w:ascii="仿宋" w:hAnsi="仿宋" w:eastAsia="仿宋" w:cs="仿宋"/>
                <w:spacing w:val="0"/>
                <w:sz w:val="24"/>
                <w:szCs w:val="24"/>
              </w:rPr>
              <w:t>职称：</w:t>
            </w:r>
            <w:r>
              <w:rPr>
                <w:rFonts w:hint="eastAsia" w:ascii="仿宋" w:hAnsi="仿宋" w:eastAsia="仿宋" w:cs="仿宋"/>
                <w:spacing w:val="0"/>
                <w:sz w:val="24"/>
                <w:szCs w:val="24"/>
                <w:lang w:val="en-US" w:eastAsia="zh-CN"/>
              </w:rPr>
              <w:t>副</w:t>
            </w:r>
            <w:r>
              <w:rPr>
                <w:rFonts w:hint="eastAsia" w:ascii="仿宋" w:hAnsi="仿宋" w:eastAsia="仿宋" w:cs="仿宋"/>
                <w:spacing w:val="8"/>
                <w:sz w:val="24"/>
                <w:szCs w:val="24"/>
                <w:lang w:val="en-US" w:eastAsia="zh-CN"/>
              </w:rPr>
              <w:t>教授</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pacing w:val="8"/>
                <w:sz w:val="24"/>
                <w:szCs w:val="24"/>
                <w:lang w:val="en-US" w:eastAsia="zh-CN"/>
              </w:rPr>
              <w:t>北京林业大学</w:t>
            </w:r>
            <w:r>
              <w:rPr>
                <w:rFonts w:hint="eastAsia" w:ascii="仿宋" w:hAnsi="仿宋" w:eastAsia="仿宋" w:cs="仿宋"/>
                <w:spacing w:val="8"/>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pacing w:val="8"/>
                <w:sz w:val="24"/>
                <w:szCs w:val="24"/>
                <w:lang w:val="en-US" w:eastAsia="zh-CN"/>
              </w:rPr>
              <w:t>北京林业大学），</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揭示了右旋龙脑抑菌机理，开发了龙脑型阴香无性系组培技术。</w:t>
            </w:r>
            <w:bookmarkStart w:id="8" w:name="_GoBack"/>
            <w:bookmarkEnd w:id="8"/>
          </w:p>
        </w:tc>
      </w:tr>
      <w:tr w14:paraId="06A3C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02DDFA87">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vAlign w:val="center"/>
          </w:tcPr>
          <w:p w14:paraId="756B2483">
            <w:pPr>
              <w:keepNext w:val="0"/>
              <w:keepLines w:val="0"/>
              <w:pageBreakBefore w:val="0"/>
              <w:widowControl/>
              <w:numPr>
                <w:ilvl w:val="0"/>
                <w:numId w:val="4"/>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napToGrid w:val="0"/>
                <w:color w:val="000000"/>
                <w:sz w:val="24"/>
                <w:szCs w:val="24"/>
                <w:lang w:val="en-US" w:eastAsia="zh-CN" w:bidi="ar-SA"/>
              </w:rPr>
            </w:pPr>
            <w:r>
              <w:rPr>
                <w:rFonts w:hint="eastAsia" w:ascii="仿宋" w:hAnsi="仿宋" w:eastAsia="仿宋" w:cs="仿宋"/>
                <w:spacing w:val="8"/>
                <w:sz w:val="24"/>
                <w:szCs w:val="24"/>
              </w:rPr>
              <w:t>谢佩吾（</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副研究员</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主要参与阴香叶中右旋龙脑累积规律研究和优良无性系快繁技术研发。</w:t>
            </w:r>
          </w:p>
        </w:tc>
      </w:tr>
      <w:tr w14:paraId="3FDF3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5C426DFA">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vAlign w:val="center"/>
          </w:tcPr>
          <w:p w14:paraId="5F960D5D">
            <w:pPr>
              <w:keepNext w:val="0"/>
              <w:keepLines w:val="0"/>
              <w:pageBreakBefore w:val="0"/>
              <w:widowControl/>
              <w:numPr>
                <w:ilvl w:val="0"/>
                <w:numId w:val="4"/>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napToGrid w:val="0"/>
                <w:color w:val="000000"/>
                <w:sz w:val="24"/>
                <w:szCs w:val="24"/>
                <w:lang w:val="en-US" w:eastAsia="zh-CN" w:bidi="ar-SA"/>
              </w:rPr>
            </w:pPr>
            <w:r>
              <w:rPr>
                <w:rFonts w:hint="eastAsia" w:ascii="仿宋" w:hAnsi="仿宋" w:eastAsia="仿宋" w:cs="仿宋"/>
                <w:spacing w:val="8"/>
                <w:sz w:val="24"/>
                <w:szCs w:val="24"/>
                <w:lang w:val="en-US" w:eastAsia="zh-CN"/>
              </w:rPr>
              <w:t>尧俊</w:t>
            </w:r>
            <w:r>
              <w:rPr>
                <w:rFonts w:hint="eastAsia" w:ascii="仿宋" w:hAnsi="仿宋" w:eastAsia="仿宋" w:cs="仿宋"/>
                <w:spacing w:val="8"/>
                <w:sz w:val="24"/>
                <w:szCs w:val="24"/>
              </w:rPr>
              <w:t>（</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助理研究员</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pacing w:val="8"/>
                <w:sz w:val="24"/>
                <w:szCs w:val="24"/>
              </w:rPr>
              <w:t>主要</w:t>
            </w:r>
            <w:r>
              <w:rPr>
                <w:rFonts w:hint="eastAsia" w:ascii="仿宋" w:hAnsi="仿宋" w:eastAsia="仿宋" w:cs="仿宋"/>
                <w:spacing w:val="8"/>
                <w:sz w:val="24"/>
                <w:szCs w:val="24"/>
                <w:lang w:val="en-US" w:eastAsia="zh-CN"/>
              </w:rPr>
              <w:t>参与阴香等树种右旋</w:t>
            </w:r>
            <w:r>
              <w:rPr>
                <w:rFonts w:hint="eastAsia" w:ascii="仿宋" w:hAnsi="仿宋" w:eastAsia="仿宋" w:cs="仿宋"/>
                <w:sz w:val="24"/>
                <w:szCs w:val="24"/>
                <w:lang w:val="en-US" w:eastAsia="zh-CN"/>
              </w:rPr>
              <w:t>龙脑合成关键基因挖掘，功能验证和代谢通路解析。</w:t>
            </w:r>
          </w:p>
        </w:tc>
      </w:tr>
      <w:tr w14:paraId="251C1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642D0200">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vAlign w:val="center"/>
          </w:tcPr>
          <w:p w14:paraId="75EBA77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napToGrid w:val="0"/>
                <w:color w:val="000000"/>
                <w:spacing w:val="8"/>
                <w:sz w:val="24"/>
                <w:szCs w:val="24"/>
                <w:lang w:val="en-US" w:eastAsia="zh-CN" w:bidi="ar-SA"/>
              </w:rPr>
            </w:pPr>
            <w:r>
              <w:rPr>
                <w:rFonts w:hint="eastAsia" w:ascii="仿宋" w:hAnsi="仿宋" w:eastAsia="仿宋" w:cs="仿宋"/>
                <w:spacing w:val="8"/>
                <w:sz w:val="24"/>
                <w:szCs w:val="24"/>
                <w:lang w:val="en-US" w:eastAsia="zh-CN"/>
              </w:rPr>
              <w:t xml:space="preserve">13. </w:t>
            </w:r>
            <w:r>
              <w:rPr>
                <w:rFonts w:hint="eastAsia" w:ascii="仿宋" w:hAnsi="仿宋" w:eastAsia="仿宋" w:cs="仿宋"/>
                <w:spacing w:val="8"/>
                <w:sz w:val="24"/>
                <w:szCs w:val="24"/>
              </w:rPr>
              <w:t>范鹏辉</w:t>
            </w:r>
            <w:r>
              <w:rPr>
                <w:rFonts w:hint="eastAsia" w:ascii="仿宋" w:hAnsi="仿宋" w:eastAsia="仿宋" w:cs="仿宋"/>
                <w:spacing w:val="8"/>
                <w:sz w:val="24"/>
                <w:szCs w:val="24"/>
                <w:lang w:eastAsia="zh-CN"/>
              </w:rPr>
              <w:t>（</w:t>
            </w:r>
            <w:r>
              <w:rPr>
                <w:rFonts w:hint="eastAsia" w:ascii="仿宋" w:hAnsi="仿宋" w:eastAsia="仿宋" w:cs="仿宋"/>
                <w:spacing w:val="0"/>
                <w:sz w:val="24"/>
                <w:szCs w:val="24"/>
              </w:rPr>
              <w:t>职称：</w:t>
            </w:r>
            <w:r>
              <w:rPr>
                <w:rFonts w:hint="eastAsia" w:ascii="仿宋" w:hAnsi="仿宋" w:eastAsia="仿宋" w:cs="仿宋"/>
                <w:spacing w:val="8"/>
                <w:sz w:val="24"/>
                <w:szCs w:val="24"/>
                <w:lang w:eastAsia="zh-CN"/>
              </w:rPr>
              <w:t>无，</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lang w:eastAsia="zh-CN"/>
              </w:rPr>
              <w:t>华工新颜（深圳）科技有限公司，</w:t>
            </w:r>
            <w:r>
              <w:rPr>
                <w:rFonts w:hint="eastAsia" w:ascii="仿宋" w:hAnsi="仿宋" w:eastAsia="仿宋" w:cs="仿宋"/>
                <w:sz w:val="24"/>
                <w:szCs w:val="24"/>
                <w:lang w:val="en-US" w:eastAsia="zh-CN"/>
              </w:rPr>
              <w:t>工作单位：</w:t>
            </w:r>
            <w:r>
              <w:rPr>
                <w:rFonts w:hint="eastAsia" w:ascii="仿宋" w:hAnsi="仿宋" w:eastAsia="仿宋" w:cs="仿宋"/>
                <w:sz w:val="24"/>
                <w:szCs w:val="24"/>
                <w:lang w:eastAsia="zh-CN"/>
              </w:rPr>
              <w:t>华南理工大学</w:t>
            </w:r>
            <w:r>
              <w:rPr>
                <w:rFonts w:hint="eastAsia" w:ascii="仿宋" w:hAnsi="仿宋" w:eastAsia="仿宋" w:cs="仿宋"/>
                <w:spacing w:val="8"/>
                <w:sz w:val="24"/>
                <w:szCs w:val="24"/>
                <w:lang w:eastAsia="zh-CN"/>
              </w:rPr>
              <w:t>），</w:t>
            </w:r>
            <w:r>
              <w:rPr>
                <w:rFonts w:hint="eastAsia" w:ascii="仿宋" w:hAnsi="仿宋" w:eastAsia="仿宋" w:cs="仿宋"/>
                <w:spacing w:val="0"/>
                <w:sz w:val="24"/>
                <w:szCs w:val="24"/>
              </w:rPr>
              <w:t>主要贡献：</w:t>
            </w:r>
            <w:r>
              <w:rPr>
                <w:rFonts w:hint="eastAsia" w:ascii="仿宋" w:hAnsi="仿宋" w:eastAsia="仿宋" w:cs="仿宋"/>
                <w:sz w:val="24"/>
                <w:szCs w:val="24"/>
                <w:lang w:eastAsia="zh-CN"/>
              </w:rPr>
              <w:t>参与高纯度天然右旋结晶纯化，超分子包裹及分子蒸馏技术在龙脑精油减毒存效等方面的研究。</w:t>
            </w:r>
          </w:p>
        </w:tc>
      </w:tr>
      <w:tr w14:paraId="4EADE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160BE95F">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vAlign w:val="center"/>
          </w:tcPr>
          <w:p w14:paraId="0BD15D7B">
            <w:pPr>
              <w:keepNext w:val="0"/>
              <w:keepLines w:val="0"/>
              <w:pageBreakBefore w:val="0"/>
              <w:widowControl/>
              <w:numPr>
                <w:ilvl w:val="0"/>
                <w:numId w:val="5"/>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napToGrid w:val="0"/>
                <w:color w:val="000000"/>
                <w:spacing w:val="8"/>
                <w:sz w:val="24"/>
                <w:szCs w:val="24"/>
                <w:lang w:val="en-US" w:eastAsia="zh-CN" w:bidi="ar-SA"/>
              </w:rPr>
            </w:pPr>
            <w:r>
              <w:rPr>
                <w:rFonts w:hint="eastAsia" w:ascii="仿宋" w:hAnsi="仿宋" w:eastAsia="仿宋" w:cs="仿宋"/>
                <w:spacing w:val="8"/>
                <w:sz w:val="24"/>
                <w:szCs w:val="24"/>
                <w:lang w:val="en-US" w:eastAsia="zh-CN"/>
              </w:rPr>
              <w:t>李兵（</w:t>
            </w:r>
            <w:r>
              <w:rPr>
                <w:rFonts w:hint="eastAsia" w:ascii="仿宋" w:hAnsi="仿宋" w:eastAsia="仿宋" w:cs="仿宋"/>
                <w:spacing w:val="0"/>
                <w:sz w:val="24"/>
                <w:szCs w:val="24"/>
              </w:rPr>
              <w:t>职称：</w:t>
            </w:r>
            <w:r>
              <w:rPr>
                <w:rFonts w:hint="eastAsia" w:ascii="仿宋" w:hAnsi="仿宋" w:eastAsia="仿宋" w:cs="仿宋"/>
                <w:spacing w:val="8"/>
                <w:sz w:val="24"/>
                <w:szCs w:val="24"/>
                <w:lang w:val="en-US" w:eastAsia="zh-CN"/>
              </w:rPr>
              <w:t>高级工程师</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z w:val="24"/>
                <w:szCs w:val="24"/>
              </w:rPr>
              <w:t>广东省林业科学研究院</w:t>
            </w:r>
            <w:r>
              <w:rPr>
                <w:rFonts w:hint="eastAsia" w:ascii="仿宋" w:hAnsi="仿宋" w:eastAsia="仿宋" w:cs="仿宋"/>
                <w:sz w:val="24"/>
                <w:szCs w:val="24"/>
                <w:lang w:eastAsia="zh-CN"/>
              </w:rPr>
              <w:t>）</w:t>
            </w:r>
            <w:r>
              <w:rPr>
                <w:rFonts w:hint="eastAsia" w:ascii="仿宋" w:hAnsi="仿宋" w:eastAsia="仿宋" w:cs="仿宋"/>
                <w:spacing w:val="8"/>
                <w:sz w:val="24"/>
                <w:szCs w:val="24"/>
                <w:lang w:val="en-US" w:eastAsia="zh-CN"/>
              </w:rPr>
              <w:t>，</w:t>
            </w:r>
            <w:r>
              <w:rPr>
                <w:rFonts w:hint="eastAsia" w:ascii="仿宋" w:hAnsi="仿宋" w:eastAsia="仿宋" w:cs="仿宋"/>
                <w:spacing w:val="0"/>
                <w:sz w:val="24"/>
                <w:szCs w:val="24"/>
              </w:rPr>
              <w:t>主要贡献：</w:t>
            </w:r>
            <w:r>
              <w:rPr>
                <w:rFonts w:hint="eastAsia" w:ascii="仿宋" w:hAnsi="仿宋" w:eastAsia="仿宋" w:cs="仿宋"/>
                <w:spacing w:val="8"/>
                <w:sz w:val="24"/>
                <w:szCs w:val="24"/>
                <w:lang w:val="en-US" w:eastAsia="zh-CN"/>
              </w:rPr>
              <w:t>参与龙脑型阴香优良品系选育，制定标准</w:t>
            </w:r>
            <w:r>
              <w:rPr>
                <w:rFonts w:hint="eastAsia" w:ascii="仿宋" w:hAnsi="仿宋" w:eastAsia="仿宋" w:cs="仿宋"/>
                <w:sz w:val="24"/>
                <w:szCs w:val="24"/>
              </w:rPr>
              <w:t>《阴香化学类型检测技术规程》</w:t>
            </w:r>
            <w:r>
              <w:rPr>
                <w:rFonts w:hint="eastAsia" w:ascii="仿宋" w:hAnsi="仿宋" w:eastAsia="仿宋" w:cs="仿宋"/>
                <w:sz w:val="24"/>
                <w:szCs w:val="24"/>
                <w:lang w:eastAsia="zh-CN"/>
              </w:rPr>
              <w:t>。</w:t>
            </w:r>
          </w:p>
        </w:tc>
      </w:tr>
      <w:tr w14:paraId="1C678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46" w:type="dxa"/>
            <w:vMerge w:val="continue"/>
            <w:vAlign w:val="center"/>
          </w:tcPr>
          <w:p w14:paraId="1B033A7B">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vAlign w:val="center"/>
          </w:tcPr>
          <w:p w14:paraId="23FA4133">
            <w:pPr>
              <w:keepNext w:val="0"/>
              <w:keepLines w:val="0"/>
              <w:pageBreakBefore w:val="0"/>
              <w:widowControl/>
              <w:numPr>
                <w:ilvl w:val="0"/>
                <w:numId w:val="5"/>
              </w:numPr>
              <w:kinsoku w:val="0"/>
              <w:wordWrap/>
              <w:overflowPunct/>
              <w:topLinePunct w:val="0"/>
              <w:autoSpaceDE w:val="0"/>
              <w:autoSpaceDN w:val="0"/>
              <w:bidi w:val="0"/>
              <w:adjustRightInd w:val="0"/>
              <w:snapToGrid w:val="0"/>
              <w:spacing w:line="260" w:lineRule="exact"/>
              <w:ind w:left="107" w:leftChars="51" w:firstLine="0" w:firstLineChars="0"/>
              <w:jc w:val="left"/>
              <w:textAlignment w:val="baseline"/>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刘晚传</w:t>
            </w:r>
            <w:r>
              <w:rPr>
                <w:rFonts w:hint="eastAsia" w:ascii="仿宋" w:hAnsi="仿宋" w:eastAsia="仿宋" w:cs="仿宋"/>
                <w:spacing w:val="8"/>
                <w:sz w:val="24"/>
                <w:szCs w:val="24"/>
              </w:rPr>
              <w:t>（</w:t>
            </w:r>
            <w:r>
              <w:rPr>
                <w:rFonts w:hint="eastAsia" w:ascii="仿宋" w:hAnsi="仿宋" w:eastAsia="仿宋" w:cs="仿宋"/>
                <w:spacing w:val="0"/>
                <w:sz w:val="24"/>
                <w:szCs w:val="24"/>
              </w:rPr>
              <w:t>职称：</w:t>
            </w:r>
            <w:r>
              <w:rPr>
                <w:rFonts w:hint="eastAsia" w:ascii="仿宋" w:hAnsi="仿宋" w:eastAsia="仿宋" w:cs="仿宋"/>
                <w:spacing w:val="8"/>
                <w:sz w:val="24"/>
                <w:szCs w:val="24"/>
              </w:rPr>
              <w:t>高级工程师</w:t>
            </w:r>
            <w:r>
              <w:rPr>
                <w:rFonts w:hint="eastAsia" w:ascii="仿宋" w:hAnsi="仿宋" w:eastAsia="仿宋" w:cs="仿宋"/>
                <w:spacing w:val="8"/>
                <w:sz w:val="24"/>
                <w:szCs w:val="24"/>
                <w:lang w:eastAsia="zh-CN"/>
              </w:rPr>
              <w:t>，</w:t>
            </w:r>
            <w:r>
              <w:rPr>
                <w:rFonts w:hint="eastAsia" w:ascii="仿宋" w:hAnsi="仿宋" w:eastAsia="仿宋" w:cs="仿宋"/>
                <w:spacing w:val="7"/>
                <w:sz w:val="24"/>
                <w:szCs w:val="24"/>
                <w:lang w:val="en-US" w:eastAsia="zh-CN"/>
              </w:rPr>
              <w:t>完成单位：</w:t>
            </w:r>
            <w:r>
              <w:rPr>
                <w:rFonts w:hint="eastAsia" w:ascii="仿宋" w:hAnsi="仿宋" w:eastAsia="仿宋" w:cs="仿宋"/>
                <w:spacing w:val="8"/>
                <w:sz w:val="24"/>
                <w:szCs w:val="24"/>
              </w:rPr>
              <w:t>信宜市林业科学研究所</w:t>
            </w:r>
            <w:r>
              <w:rPr>
                <w:rFonts w:hint="eastAsia" w:ascii="仿宋" w:hAnsi="仿宋" w:eastAsia="仿宋" w:cs="仿宋"/>
                <w:spacing w:val="8"/>
                <w:sz w:val="24"/>
                <w:szCs w:val="24"/>
                <w:lang w:eastAsia="zh-CN"/>
              </w:rPr>
              <w:t>，</w:t>
            </w:r>
            <w:r>
              <w:rPr>
                <w:rFonts w:hint="eastAsia" w:ascii="仿宋" w:hAnsi="仿宋" w:eastAsia="仿宋" w:cs="仿宋"/>
                <w:sz w:val="24"/>
                <w:szCs w:val="24"/>
                <w:lang w:val="en-US" w:eastAsia="zh-CN"/>
              </w:rPr>
              <w:t>工作单位：</w:t>
            </w:r>
            <w:r>
              <w:rPr>
                <w:rFonts w:hint="eastAsia" w:ascii="仿宋" w:hAnsi="仿宋" w:eastAsia="仿宋" w:cs="仿宋"/>
                <w:spacing w:val="8"/>
                <w:sz w:val="24"/>
                <w:szCs w:val="24"/>
              </w:rPr>
              <w:t>信宜市林业科学研究所</w:t>
            </w:r>
            <w:r>
              <w:rPr>
                <w:rFonts w:hint="eastAsia" w:ascii="仿宋" w:hAnsi="仿宋" w:eastAsia="仿宋" w:cs="仿宋"/>
                <w:spacing w:val="8"/>
                <w:sz w:val="24"/>
                <w:szCs w:val="24"/>
                <w:lang w:val="en-US" w:eastAsia="zh-CN"/>
              </w:rPr>
              <w:t>），</w:t>
            </w:r>
            <w:r>
              <w:rPr>
                <w:rFonts w:hint="eastAsia" w:ascii="仿宋" w:hAnsi="仿宋" w:eastAsia="仿宋" w:cs="仿宋"/>
                <w:spacing w:val="0"/>
                <w:sz w:val="24"/>
                <w:szCs w:val="24"/>
              </w:rPr>
              <w:t>主要贡献：</w:t>
            </w:r>
            <w:r>
              <w:rPr>
                <w:rFonts w:hint="eastAsia" w:ascii="仿宋" w:hAnsi="仿宋" w:eastAsia="仿宋" w:cs="仿宋"/>
                <w:spacing w:val="8"/>
                <w:sz w:val="24"/>
                <w:szCs w:val="24"/>
              </w:rPr>
              <w:t>主要</w:t>
            </w:r>
            <w:r>
              <w:rPr>
                <w:rFonts w:hint="eastAsia" w:ascii="仿宋" w:hAnsi="仿宋" w:eastAsia="仿宋" w:cs="仿宋"/>
                <w:spacing w:val="8"/>
                <w:sz w:val="24"/>
                <w:szCs w:val="24"/>
                <w:lang w:val="en-US" w:eastAsia="zh-CN"/>
              </w:rPr>
              <w:t xml:space="preserve">参与种质资源收集与扩繁，无性系区域测评和良种选育研究工作。 </w:t>
            </w:r>
          </w:p>
        </w:tc>
      </w:tr>
      <w:tr w14:paraId="338A1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8" w:hRule="atLeast"/>
        </w:trPr>
        <w:tc>
          <w:tcPr>
            <w:tcW w:w="1346" w:type="dxa"/>
            <w:vMerge w:val="restart"/>
            <w:tcBorders>
              <w:top w:val="single" w:color="auto" w:sz="4" w:space="0"/>
              <w:left w:val="single" w:color="auto" w:sz="4" w:space="0"/>
              <w:bottom w:val="single" w:color="auto" w:sz="4" w:space="0"/>
              <w:right w:val="single" w:color="auto" w:sz="4" w:space="0"/>
            </w:tcBorders>
            <w:vAlign w:val="center"/>
          </w:tcPr>
          <w:p w14:paraId="549DCB16">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p w14:paraId="5D2AD5CA">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p w14:paraId="4F6B52EC">
            <w:pPr>
              <w:keepNext w:val="0"/>
              <w:keepLines w:val="0"/>
              <w:pageBreakBefore w:val="0"/>
              <w:widowControl/>
              <w:kinsoku w:val="0"/>
              <w:wordWrap/>
              <w:overflowPunct/>
              <w:topLinePunct w:val="0"/>
              <w:autoSpaceDE w:val="0"/>
              <w:autoSpaceDN w:val="0"/>
              <w:bidi w:val="0"/>
              <w:adjustRightInd w:val="0"/>
              <w:snapToGrid w:val="0"/>
              <w:spacing w:line="240" w:lineRule="auto"/>
              <w:ind w:right="10" w:rightChars="0"/>
              <w:jc w:val="center"/>
              <w:rPr>
                <w:rFonts w:hint="eastAsia" w:ascii="仿宋" w:hAnsi="仿宋" w:eastAsia="仿宋" w:cs="仿宋"/>
                <w:b/>
                <w:bCs/>
                <w:spacing w:val="4"/>
                <w:sz w:val="24"/>
                <w:szCs w:val="24"/>
              </w:rPr>
            </w:pPr>
            <w:r>
              <w:rPr>
                <w:rFonts w:hint="eastAsia" w:ascii="仿宋" w:hAnsi="仿宋" w:eastAsia="仿宋" w:cs="仿宋"/>
                <w:b/>
                <w:bCs/>
                <w:spacing w:val="4"/>
                <w:sz w:val="24"/>
                <w:szCs w:val="24"/>
              </w:rPr>
              <w:t>代表性论文专著目录</w:t>
            </w:r>
          </w:p>
          <w:p w14:paraId="4F49457A">
            <w:pPr>
              <w:keepNext w:val="0"/>
              <w:keepLines w:val="0"/>
              <w:pageBreakBefore w:val="0"/>
              <w:widowControl/>
              <w:kinsoku w:val="0"/>
              <w:wordWrap/>
              <w:overflowPunct/>
              <w:topLinePunct w:val="0"/>
              <w:autoSpaceDE w:val="0"/>
              <w:autoSpaceDN w:val="0"/>
              <w:bidi w:val="0"/>
              <w:adjustRightInd w:val="0"/>
              <w:snapToGrid w:val="0"/>
              <w:spacing w:line="240" w:lineRule="auto"/>
              <w:ind w:right="10" w:rightChars="0"/>
              <w:jc w:val="center"/>
              <w:rPr>
                <w:rFonts w:hint="eastAsia" w:ascii="仿宋" w:hAnsi="仿宋" w:eastAsia="仿宋" w:cs="仿宋"/>
                <w:sz w:val="24"/>
                <w:szCs w:val="24"/>
                <w:lang w:eastAsia="zh-CN"/>
              </w:rPr>
            </w:pPr>
            <w:r>
              <w:rPr>
                <w:rFonts w:hint="eastAsia" w:ascii="仿宋" w:hAnsi="仿宋" w:eastAsia="仿宋" w:cs="仿宋"/>
                <w:b/>
                <w:bCs/>
                <w:spacing w:val="4"/>
                <w:sz w:val="24"/>
                <w:szCs w:val="24"/>
                <w:lang w:eastAsia="zh-CN"/>
              </w:rPr>
              <w:t>（</w:t>
            </w:r>
            <w:r>
              <w:rPr>
                <w:rFonts w:hint="eastAsia" w:ascii="仿宋" w:hAnsi="仿宋" w:eastAsia="仿宋" w:cs="仿宋"/>
                <w:b/>
                <w:bCs/>
                <w:spacing w:val="4"/>
                <w:sz w:val="24"/>
                <w:szCs w:val="24"/>
                <w:lang w:val="en-US" w:eastAsia="zh-CN"/>
              </w:rPr>
              <w:t>限5项</w:t>
            </w:r>
            <w:r>
              <w:rPr>
                <w:rFonts w:hint="eastAsia" w:ascii="仿宋" w:hAnsi="仿宋" w:eastAsia="仿宋" w:cs="仿宋"/>
                <w:b/>
                <w:bCs/>
                <w:spacing w:val="4"/>
                <w:sz w:val="24"/>
                <w:szCs w:val="24"/>
                <w:lang w:eastAsia="zh-CN"/>
              </w:rPr>
              <w:t>）</w:t>
            </w:r>
          </w:p>
        </w:tc>
        <w:tc>
          <w:tcPr>
            <w:tcW w:w="8393" w:type="dxa"/>
            <w:tcBorders>
              <w:left w:val="single" w:color="auto" w:sz="4" w:space="0"/>
            </w:tcBorders>
            <w:tcMar>
              <w:top w:w="28" w:type="dxa"/>
              <w:left w:w="28" w:type="dxa"/>
              <w:bottom w:w="0" w:type="dxa"/>
              <w:right w:w="0" w:type="dxa"/>
            </w:tcMar>
            <w:vAlign w:val="center"/>
          </w:tcPr>
          <w:p w14:paraId="354065E6">
            <w:pPr>
              <w:keepNext w:val="0"/>
              <w:keepLines w:val="0"/>
              <w:pageBreakBefore w:val="0"/>
              <w:widowControl/>
              <w:kinsoku w:val="0"/>
              <w:wordWrap/>
              <w:overflowPunct/>
              <w:topLinePunct w:val="0"/>
              <w:autoSpaceDE w:val="0"/>
              <w:autoSpaceDN w:val="0"/>
              <w:bidi w:val="0"/>
              <w:adjustRightInd w:val="0"/>
              <w:snapToGrid w:val="0"/>
              <w:spacing w:line="260" w:lineRule="exact"/>
              <w:ind w:left="107" w:leftChars="51" w:firstLine="0" w:firstLineChars="0"/>
              <w:jc w:val="left"/>
              <w:rPr>
                <w:rFonts w:hint="eastAsia" w:ascii="仿宋" w:hAnsi="仿宋" w:eastAsia="仿宋" w:cs="仿宋"/>
                <w:sz w:val="24"/>
                <w:szCs w:val="24"/>
              </w:rPr>
            </w:pPr>
            <w:r>
              <w:rPr>
                <w:rFonts w:hint="eastAsia" w:ascii="仿宋" w:hAnsi="仿宋" w:eastAsia="仿宋" w:cs="仿宋"/>
                <w:spacing w:val="7"/>
                <w:sz w:val="24"/>
                <w:szCs w:val="24"/>
              </w:rPr>
              <w:t>论文1</w:t>
            </w:r>
            <w:r>
              <w:rPr>
                <w:rFonts w:hint="eastAsia" w:ascii="仿宋" w:hAnsi="仿宋" w:eastAsia="仿宋" w:cs="仿宋"/>
                <w:spacing w:val="-20"/>
                <w:sz w:val="24"/>
                <w:szCs w:val="24"/>
              </w:rPr>
              <w:t xml:space="preserve"> </w:t>
            </w:r>
            <w:r>
              <w:rPr>
                <w:rFonts w:hint="eastAsia" w:ascii="仿宋" w:hAnsi="仿宋" w:eastAsia="仿宋" w:cs="仿宋"/>
                <w:spacing w:val="7"/>
                <w:sz w:val="24"/>
                <w:szCs w:val="24"/>
              </w:rPr>
              <w:t>：&lt;</w:t>
            </w:r>
            <w:bookmarkStart w:id="1" w:name="OLE_LINK9"/>
            <w:r>
              <w:rPr>
                <w:rFonts w:hint="eastAsia" w:ascii="仿宋" w:hAnsi="仿宋" w:eastAsia="仿宋" w:cs="仿宋"/>
                <w:sz w:val="24"/>
                <w:szCs w:val="24"/>
                <w:vertAlign w:val="baseline"/>
              </w:rPr>
              <w:t xml:space="preserve">Decoding the chemodiversity blueprint chromosome-scale genome assembly unveils photosynthesis-terpenoid coordination in </w:t>
            </w:r>
            <w:r>
              <w:rPr>
                <w:rFonts w:hint="eastAsia" w:ascii="仿宋" w:hAnsi="仿宋" w:eastAsia="仿宋" w:cs="仿宋"/>
                <w:i/>
                <w:iCs/>
                <w:sz w:val="24"/>
                <w:szCs w:val="24"/>
                <w:vertAlign w:val="baseline"/>
              </w:rPr>
              <w:t>Cinnamomum burmanni</w:t>
            </w:r>
            <w:r>
              <w:rPr>
                <w:rFonts w:hint="eastAsia" w:ascii="仿宋" w:hAnsi="仿宋" w:eastAsia="仿宋" w:cs="仿宋"/>
                <w:sz w:val="24"/>
                <w:szCs w:val="24"/>
                <w:vertAlign w:val="baseline"/>
              </w:rPr>
              <w:t xml:space="preserve"> through genomic and miRNA regulatory network</w:t>
            </w:r>
            <w:bookmarkEnd w:id="1"/>
            <w:r>
              <w:rPr>
                <w:rFonts w:hint="eastAsia" w:ascii="仿宋" w:hAnsi="仿宋" w:eastAsia="仿宋" w:cs="仿宋"/>
                <w:sz w:val="24"/>
                <w:szCs w:val="24"/>
                <w:vertAlign w:val="baseline"/>
                <w:lang w:val="en-US" w:eastAsia="zh-CN"/>
              </w:rPr>
              <w:t>，The Plant Science，2025年360卷，第一作者：侯晨，通讯作者：张谦</w:t>
            </w:r>
            <w:r>
              <w:rPr>
                <w:rFonts w:hint="eastAsia" w:ascii="仿宋" w:hAnsi="仿宋" w:eastAsia="仿宋" w:cs="仿宋"/>
                <w:spacing w:val="7"/>
                <w:sz w:val="24"/>
                <w:szCs w:val="24"/>
              </w:rPr>
              <w:t>&gt;</w:t>
            </w:r>
          </w:p>
        </w:tc>
      </w:tr>
      <w:tr w14:paraId="61736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0" w:hRule="atLeast"/>
        </w:trPr>
        <w:tc>
          <w:tcPr>
            <w:tcW w:w="1346" w:type="dxa"/>
            <w:vMerge w:val="continue"/>
            <w:tcBorders>
              <w:top w:val="single" w:color="auto" w:sz="4" w:space="0"/>
              <w:left w:val="single" w:color="auto" w:sz="4" w:space="0"/>
              <w:bottom w:val="single" w:color="auto" w:sz="4" w:space="0"/>
              <w:right w:val="single" w:color="auto" w:sz="4" w:space="0"/>
            </w:tcBorders>
            <w:vAlign w:val="center"/>
          </w:tcPr>
          <w:p w14:paraId="765C407D">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tcBorders>
              <w:left w:val="single" w:color="auto" w:sz="4" w:space="0"/>
            </w:tcBorders>
            <w:tcMar>
              <w:top w:w="28" w:type="dxa"/>
              <w:left w:w="28" w:type="dxa"/>
              <w:bottom w:w="0" w:type="dxa"/>
              <w:right w:w="0" w:type="dxa"/>
            </w:tcMar>
            <w:vAlign w:val="top"/>
          </w:tcPr>
          <w:p w14:paraId="6035D361">
            <w:pPr>
              <w:keepNext w:val="0"/>
              <w:keepLines w:val="0"/>
              <w:pageBreakBefore w:val="0"/>
              <w:widowControl/>
              <w:kinsoku w:val="0"/>
              <w:wordWrap/>
              <w:overflowPunct/>
              <w:topLinePunct w:val="0"/>
              <w:autoSpaceDE w:val="0"/>
              <w:autoSpaceDN w:val="0"/>
              <w:bidi w:val="0"/>
              <w:adjustRightInd w:val="0"/>
              <w:snapToGrid w:val="0"/>
              <w:spacing w:line="260" w:lineRule="exact"/>
              <w:ind w:left="107" w:leftChars="51" w:firstLine="0" w:firstLineChars="0"/>
              <w:jc w:val="left"/>
              <w:rPr>
                <w:rFonts w:hint="eastAsia" w:ascii="仿宋" w:hAnsi="仿宋" w:eastAsia="仿宋" w:cs="仿宋"/>
                <w:sz w:val="24"/>
                <w:szCs w:val="24"/>
              </w:rPr>
            </w:pPr>
            <w:r>
              <w:rPr>
                <w:rFonts w:hint="eastAsia" w:ascii="仿宋" w:hAnsi="仿宋" w:eastAsia="仿宋" w:cs="仿宋"/>
                <w:sz w:val="24"/>
                <w:szCs w:val="24"/>
              </w:rPr>
              <w:t xml:space="preserve">论文2 ：&lt;Climate-driven redistribution of essential oil chemotypes in </w:t>
            </w:r>
            <w:r>
              <w:rPr>
                <w:rFonts w:hint="eastAsia" w:ascii="仿宋" w:hAnsi="仿宋" w:eastAsia="仿宋" w:cs="仿宋"/>
                <w:i/>
                <w:iCs/>
                <w:sz w:val="24"/>
                <w:szCs w:val="24"/>
              </w:rPr>
              <w:t>Camphora officinarum</w:t>
            </w:r>
            <w:r>
              <w:rPr>
                <w:rFonts w:hint="eastAsia" w:ascii="仿宋" w:hAnsi="仿宋" w:eastAsia="仿宋" w:cs="仿宋"/>
                <w:sz w:val="24"/>
                <w:szCs w:val="24"/>
                <w:lang w:eastAsia="zh-CN"/>
              </w:rPr>
              <w:t>：</w:t>
            </w:r>
            <w:r>
              <w:rPr>
                <w:rFonts w:hint="eastAsia" w:ascii="仿宋" w:hAnsi="仿宋" w:eastAsia="仿宋" w:cs="仿宋"/>
                <w:sz w:val="24"/>
                <w:szCs w:val="24"/>
              </w:rPr>
              <w:t>MaxEntbased habitat projection</w:t>
            </w:r>
            <w:r>
              <w:rPr>
                <w:rFonts w:hint="eastAsia" w:ascii="仿宋" w:hAnsi="仿宋" w:eastAsia="仿宋" w:cs="仿宋"/>
                <w:color w:val="auto"/>
                <w:sz w:val="24"/>
                <w:szCs w:val="24"/>
              </w:rPr>
              <w:t>s and conservation priorities for Southern China (2021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2080)</w:t>
            </w:r>
            <w:r>
              <w:rPr>
                <w:rFonts w:hint="eastAsia" w:ascii="仿宋" w:hAnsi="仿宋" w:eastAsia="仿宋" w:cs="仿宋"/>
                <w:color w:val="auto"/>
                <w:sz w:val="24"/>
                <w:szCs w:val="24"/>
                <w:lang w:val="en-US" w:eastAsia="zh-CN"/>
              </w:rPr>
              <w:t>，Frontiers in Ecology and Evolution，2025年13卷</w:t>
            </w:r>
            <w:r>
              <w:rPr>
                <w:rFonts w:hint="eastAsia" w:ascii="仿宋" w:hAnsi="仿宋" w:eastAsia="仿宋" w:cs="仿宋"/>
                <w:sz w:val="24"/>
                <w:szCs w:val="24"/>
                <w:lang w:val="en-US" w:eastAsia="zh-CN"/>
              </w:rPr>
              <w:t>，</w:t>
            </w:r>
            <w:r>
              <w:rPr>
                <w:rFonts w:hint="eastAsia" w:ascii="仿宋" w:hAnsi="仿宋" w:eastAsia="仿宋" w:cs="仿宋"/>
                <w:spacing w:val="-6"/>
                <w:sz w:val="24"/>
                <w:szCs w:val="24"/>
                <w:lang w:val="en-US" w:eastAsia="zh-CN"/>
              </w:rPr>
              <w:t>第一作者：侯晨，江颖超，通讯作者：李永泉，张谦</w:t>
            </w:r>
            <w:r>
              <w:rPr>
                <w:rFonts w:hint="eastAsia" w:ascii="仿宋" w:hAnsi="仿宋" w:eastAsia="仿宋" w:cs="仿宋"/>
                <w:spacing w:val="-6"/>
                <w:sz w:val="24"/>
                <w:szCs w:val="24"/>
              </w:rPr>
              <w:t>&gt;</w:t>
            </w:r>
          </w:p>
        </w:tc>
      </w:tr>
      <w:tr w14:paraId="12EAE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346" w:type="dxa"/>
            <w:vMerge w:val="continue"/>
            <w:tcBorders>
              <w:top w:val="single" w:color="auto" w:sz="4" w:space="0"/>
              <w:left w:val="single" w:color="auto" w:sz="4" w:space="0"/>
              <w:bottom w:val="single" w:color="auto" w:sz="4" w:space="0"/>
              <w:right w:val="single" w:color="auto" w:sz="4" w:space="0"/>
            </w:tcBorders>
            <w:vAlign w:val="center"/>
          </w:tcPr>
          <w:p w14:paraId="0BAD2C62">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tcBorders>
              <w:left w:val="single" w:color="auto" w:sz="4" w:space="0"/>
            </w:tcBorders>
            <w:tcMar>
              <w:top w:w="28" w:type="dxa"/>
              <w:left w:w="28" w:type="dxa"/>
              <w:bottom w:w="0" w:type="dxa"/>
              <w:right w:w="0" w:type="dxa"/>
            </w:tcMar>
            <w:vAlign w:val="top"/>
          </w:tcPr>
          <w:p w14:paraId="15FD1B70">
            <w:pPr>
              <w:keepNext w:val="0"/>
              <w:keepLines w:val="0"/>
              <w:pageBreakBefore w:val="0"/>
              <w:widowControl/>
              <w:kinsoku w:val="0"/>
              <w:wordWrap/>
              <w:overflowPunct/>
              <w:topLinePunct w:val="0"/>
              <w:autoSpaceDE w:val="0"/>
              <w:autoSpaceDN w:val="0"/>
              <w:bidi w:val="0"/>
              <w:adjustRightInd w:val="0"/>
              <w:snapToGrid w:val="0"/>
              <w:spacing w:line="260" w:lineRule="exact"/>
              <w:ind w:left="107" w:leftChars="51"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rPr>
              <w:t>论文</w:t>
            </w: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：&lt;Integrating transcriptomics and molecular simulation to reveal the antifungal mechanism of borneol against </w:t>
            </w:r>
            <w:r>
              <w:rPr>
                <w:rFonts w:hint="eastAsia" w:ascii="仿宋" w:hAnsi="仿宋" w:eastAsia="仿宋" w:cs="仿宋"/>
                <w:i/>
                <w:iCs/>
                <w:sz w:val="24"/>
                <w:szCs w:val="24"/>
              </w:rPr>
              <w:t>Candida albicans</w:t>
            </w:r>
            <w:r>
              <w:rPr>
                <w:rFonts w:hint="eastAsia" w:ascii="仿宋" w:hAnsi="仿宋" w:eastAsia="仿宋" w:cs="仿宋"/>
                <w:sz w:val="24"/>
                <w:szCs w:val="24"/>
                <w:lang w:val="en-US" w:eastAsia="zh-CN"/>
              </w:rPr>
              <w:t>，Food Bioscience，2025年73卷，第一作者：周振龙，通讯作者：苏健裕</w:t>
            </w:r>
            <w:r>
              <w:rPr>
                <w:rFonts w:hint="eastAsia" w:ascii="仿宋" w:hAnsi="仿宋" w:eastAsia="仿宋" w:cs="仿宋"/>
                <w:sz w:val="24"/>
                <w:szCs w:val="24"/>
              </w:rPr>
              <w:t>&gt;</w:t>
            </w:r>
          </w:p>
        </w:tc>
      </w:tr>
      <w:tr w14:paraId="377A8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8" w:hRule="atLeast"/>
        </w:trPr>
        <w:tc>
          <w:tcPr>
            <w:tcW w:w="1346" w:type="dxa"/>
            <w:vMerge w:val="continue"/>
            <w:tcBorders>
              <w:top w:val="single" w:color="auto" w:sz="4" w:space="0"/>
              <w:left w:val="single" w:color="auto" w:sz="4" w:space="0"/>
              <w:bottom w:val="single" w:color="auto" w:sz="4" w:space="0"/>
              <w:right w:val="single" w:color="auto" w:sz="4" w:space="0"/>
            </w:tcBorders>
            <w:vAlign w:val="center"/>
          </w:tcPr>
          <w:p w14:paraId="0C354895">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tcBorders>
              <w:left w:val="single" w:color="auto" w:sz="4" w:space="0"/>
            </w:tcBorders>
            <w:tcMar>
              <w:top w:w="28" w:type="dxa"/>
              <w:left w:w="28" w:type="dxa"/>
              <w:bottom w:w="0" w:type="dxa"/>
              <w:right w:w="0" w:type="dxa"/>
            </w:tcMar>
            <w:vAlign w:val="center"/>
          </w:tcPr>
          <w:p w14:paraId="639763D8">
            <w:pPr>
              <w:keepNext w:val="0"/>
              <w:keepLines w:val="0"/>
              <w:pageBreakBefore w:val="0"/>
              <w:widowControl/>
              <w:kinsoku w:val="0"/>
              <w:wordWrap/>
              <w:overflowPunct/>
              <w:topLinePunct w:val="0"/>
              <w:autoSpaceDE w:val="0"/>
              <w:autoSpaceDN w:val="0"/>
              <w:bidi w:val="0"/>
              <w:adjustRightInd w:val="0"/>
              <w:snapToGrid w:val="0"/>
              <w:spacing w:line="260" w:lineRule="exact"/>
              <w:ind w:left="107" w:leftChars="51" w:firstLine="0" w:firstLineChars="0"/>
              <w:jc w:val="left"/>
              <w:rPr>
                <w:rFonts w:hint="eastAsia" w:ascii="仿宋" w:hAnsi="仿宋" w:eastAsia="仿宋" w:cs="仿宋"/>
                <w:spacing w:val="5"/>
                <w:sz w:val="24"/>
                <w:szCs w:val="24"/>
                <w:lang w:val="en-US" w:eastAsia="zh-CN"/>
              </w:rPr>
            </w:pPr>
            <w:bookmarkStart w:id="2" w:name="OLE_LINK6"/>
            <w:r>
              <w:rPr>
                <w:rFonts w:hint="eastAsia" w:ascii="仿宋" w:hAnsi="仿宋" w:eastAsia="仿宋" w:cs="仿宋"/>
                <w:spacing w:val="8"/>
                <w:sz w:val="24"/>
                <w:szCs w:val="24"/>
              </w:rPr>
              <w:t>论文</w:t>
            </w:r>
            <w:r>
              <w:rPr>
                <w:rFonts w:hint="eastAsia" w:ascii="仿宋" w:hAnsi="仿宋" w:eastAsia="仿宋" w:cs="仿宋"/>
                <w:spacing w:val="8"/>
                <w:sz w:val="24"/>
                <w:szCs w:val="24"/>
                <w:lang w:val="en-US" w:eastAsia="zh-CN"/>
              </w:rPr>
              <w:t>4</w:t>
            </w:r>
            <w:r>
              <w:rPr>
                <w:rFonts w:hint="eastAsia" w:ascii="仿宋" w:hAnsi="仿宋" w:eastAsia="仿宋" w:cs="仿宋"/>
                <w:spacing w:val="-19"/>
                <w:sz w:val="24"/>
                <w:szCs w:val="24"/>
              </w:rPr>
              <w:t xml:space="preserve"> </w:t>
            </w:r>
            <w:r>
              <w:rPr>
                <w:rFonts w:hint="eastAsia" w:ascii="仿宋" w:hAnsi="仿宋" w:eastAsia="仿宋" w:cs="仿宋"/>
                <w:spacing w:val="8"/>
                <w:sz w:val="24"/>
                <w:szCs w:val="24"/>
              </w:rPr>
              <w:t>：</w:t>
            </w:r>
            <w:r>
              <w:rPr>
                <w:rFonts w:hint="eastAsia" w:ascii="仿宋" w:hAnsi="仿宋" w:eastAsia="仿宋" w:cs="仿宋"/>
                <w:spacing w:val="7"/>
                <w:sz w:val="24"/>
                <w:szCs w:val="24"/>
              </w:rPr>
              <w:t>&lt;</w:t>
            </w:r>
            <w:r>
              <w:rPr>
                <w:rFonts w:hint="eastAsia" w:ascii="仿宋" w:hAnsi="仿宋" w:eastAsia="仿宋" w:cs="仿宋"/>
                <w:sz w:val="24"/>
                <w:szCs w:val="24"/>
              </w:rPr>
              <w:t>Low-</w:t>
            </w:r>
            <w:r>
              <w:rPr>
                <w:rFonts w:hint="eastAsia" w:ascii="仿宋" w:hAnsi="仿宋" w:eastAsia="仿宋" w:cs="仿宋"/>
                <w:sz w:val="24"/>
                <w:szCs w:val="24"/>
                <w:lang w:val="en-US" w:eastAsia="zh-CN"/>
              </w:rPr>
              <w:t>t</w:t>
            </w:r>
            <w:r>
              <w:rPr>
                <w:rFonts w:hint="eastAsia" w:ascii="仿宋" w:hAnsi="仿宋" w:eastAsia="仿宋" w:cs="仿宋"/>
                <w:sz w:val="24"/>
                <w:szCs w:val="24"/>
              </w:rPr>
              <w:t xml:space="preserve">emperature </w:t>
            </w:r>
            <w:r>
              <w:rPr>
                <w:rFonts w:hint="eastAsia" w:ascii="仿宋" w:hAnsi="仿宋" w:eastAsia="仿宋" w:cs="仿宋"/>
                <w:sz w:val="24"/>
                <w:szCs w:val="24"/>
                <w:lang w:val="en-US" w:eastAsia="zh-CN"/>
              </w:rPr>
              <w:t>p</w:t>
            </w:r>
            <w:r>
              <w:rPr>
                <w:rFonts w:hint="eastAsia" w:ascii="仿宋" w:hAnsi="仿宋" w:eastAsia="仿宋" w:cs="仿宋"/>
                <w:sz w:val="24"/>
                <w:szCs w:val="24"/>
              </w:rPr>
              <w:t xml:space="preserve">hotothermal </w:t>
            </w:r>
            <w:r>
              <w:rPr>
                <w:rFonts w:hint="eastAsia" w:ascii="仿宋" w:hAnsi="仿宋" w:eastAsia="仿宋" w:cs="仿宋"/>
                <w:sz w:val="24"/>
                <w:szCs w:val="24"/>
                <w:lang w:val="en-US" w:eastAsia="zh-CN"/>
              </w:rPr>
              <w:t>t</w:t>
            </w:r>
            <w:r>
              <w:rPr>
                <w:rFonts w:hint="eastAsia" w:ascii="仿宋" w:hAnsi="仿宋" w:eastAsia="仿宋" w:cs="仿宋"/>
                <w:sz w:val="24"/>
                <w:szCs w:val="24"/>
              </w:rPr>
              <w:t xml:space="preserve">herapy </w:t>
            </w:r>
            <w:r>
              <w:rPr>
                <w:rFonts w:hint="eastAsia" w:ascii="仿宋" w:hAnsi="仿宋" w:eastAsia="仿宋" w:cs="仿宋"/>
                <w:sz w:val="24"/>
                <w:szCs w:val="24"/>
                <w:lang w:val="en-US" w:eastAsia="zh-CN"/>
              </w:rPr>
              <w:t>b</w:t>
            </w:r>
            <w:r>
              <w:rPr>
                <w:rFonts w:hint="eastAsia" w:ascii="仿宋" w:hAnsi="仿宋" w:eastAsia="仿宋" w:cs="仿宋"/>
                <w:sz w:val="24"/>
                <w:szCs w:val="24"/>
              </w:rPr>
              <w:t xml:space="preserve">ased on </w:t>
            </w:r>
            <w:r>
              <w:rPr>
                <w:rFonts w:hint="eastAsia" w:ascii="仿宋" w:hAnsi="仿宋" w:eastAsia="仿宋" w:cs="仿宋"/>
                <w:sz w:val="24"/>
                <w:szCs w:val="24"/>
                <w:lang w:val="en-US" w:eastAsia="zh-CN"/>
              </w:rPr>
              <w:t>b</w:t>
            </w:r>
            <w:r>
              <w:rPr>
                <w:rFonts w:hint="eastAsia" w:ascii="仿宋" w:hAnsi="仿宋" w:eastAsia="仿宋" w:cs="仿宋"/>
                <w:sz w:val="24"/>
                <w:szCs w:val="24"/>
              </w:rPr>
              <w:t>orneol-</w:t>
            </w:r>
            <w:r>
              <w:rPr>
                <w:rFonts w:hint="eastAsia" w:ascii="仿宋" w:hAnsi="仿宋" w:eastAsia="仿宋" w:cs="仿宋"/>
                <w:sz w:val="24"/>
                <w:szCs w:val="24"/>
                <w:lang w:val="en-US" w:eastAsia="zh-CN"/>
              </w:rPr>
              <w:t>c</w:t>
            </w:r>
            <w:r>
              <w:rPr>
                <w:rFonts w:hint="eastAsia" w:ascii="仿宋" w:hAnsi="仿宋" w:eastAsia="仿宋" w:cs="仿宋"/>
                <w:sz w:val="24"/>
                <w:szCs w:val="24"/>
              </w:rPr>
              <w:t xml:space="preserve">ontaining </w:t>
            </w:r>
            <w:r>
              <w:rPr>
                <w:rFonts w:hint="eastAsia" w:ascii="仿宋" w:hAnsi="仿宋" w:eastAsia="仿宋" w:cs="仿宋"/>
                <w:sz w:val="24"/>
                <w:szCs w:val="24"/>
                <w:lang w:val="en-US" w:eastAsia="zh-CN"/>
              </w:rPr>
              <w:t>p</w:t>
            </w:r>
            <w:r>
              <w:rPr>
                <w:rFonts w:hint="eastAsia" w:ascii="仿宋" w:hAnsi="仿宋" w:eastAsia="仿宋" w:cs="仿宋"/>
                <w:sz w:val="24"/>
                <w:szCs w:val="24"/>
              </w:rPr>
              <w:t>olymer-</w:t>
            </w:r>
            <w:r>
              <w:rPr>
                <w:rFonts w:hint="eastAsia" w:ascii="仿宋" w:hAnsi="仿宋" w:eastAsia="仿宋" w:cs="仿宋"/>
                <w:sz w:val="24"/>
                <w:szCs w:val="24"/>
                <w:lang w:val="en-US" w:eastAsia="zh-CN"/>
              </w:rPr>
              <w:t>m</w:t>
            </w:r>
            <w:r>
              <w:rPr>
                <w:rFonts w:hint="eastAsia" w:ascii="仿宋" w:hAnsi="仿宋" w:eastAsia="仿宋" w:cs="仿宋"/>
                <w:sz w:val="24"/>
                <w:szCs w:val="24"/>
              </w:rPr>
              <w:t xml:space="preserve">odified MXene </w:t>
            </w:r>
            <w:r>
              <w:rPr>
                <w:rFonts w:hint="eastAsia" w:ascii="仿宋" w:hAnsi="仿宋" w:eastAsia="仿宋" w:cs="仿宋"/>
                <w:sz w:val="24"/>
                <w:szCs w:val="24"/>
                <w:lang w:val="en-US" w:eastAsia="zh-CN"/>
              </w:rPr>
              <w:t>n</w:t>
            </w:r>
            <w:r>
              <w:rPr>
                <w:rFonts w:hint="eastAsia" w:ascii="仿宋" w:hAnsi="仿宋" w:eastAsia="仿宋" w:cs="仿宋"/>
                <w:sz w:val="24"/>
                <w:szCs w:val="24"/>
              </w:rPr>
              <w:t>anosheets</w:t>
            </w:r>
            <w:r>
              <w:rPr>
                <w:rFonts w:hint="eastAsia" w:ascii="仿宋" w:hAnsi="仿宋" w:eastAsia="仿宋" w:cs="仿宋"/>
                <w:sz w:val="24"/>
                <w:szCs w:val="24"/>
                <w:lang w:val="en-US" w:eastAsia="zh-CN"/>
              </w:rPr>
              <w:t>，ACS Applied Materials &amp; Interfaces，2022年14卷，</w:t>
            </w:r>
            <w:r>
              <w:rPr>
                <w:rFonts w:hint="eastAsia" w:ascii="仿宋" w:hAnsi="仿宋" w:eastAsia="仿宋" w:cs="仿宋"/>
                <w:i w:val="0"/>
                <w:iCs w:val="0"/>
                <w:color w:val="auto"/>
                <w:sz w:val="24"/>
                <w:szCs w:val="24"/>
                <w:lang w:val="en-US" w:eastAsia="zh-CN"/>
              </w:rPr>
              <w:t>第一作者：杨柳，</w:t>
            </w:r>
            <w:r>
              <w:rPr>
                <w:rFonts w:hint="eastAsia" w:ascii="仿宋" w:hAnsi="仿宋" w:eastAsia="仿宋" w:cs="仿宋"/>
                <w:sz w:val="24"/>
                <w:szCs w:val="24"/>
                <w:vertAlign w:val="baseline"/>
                <w:lang w:val="en-US" w:eastAsia="zh-CN"/>
              </w:rPr>
              <w:t>通讯作者：</w:t>
            </w:r>
            <w:r>
              <w:rPr>
                <w:rFonts w:hint="eastAsia" w:ascii="仿宋" w:hAnsi="仿宋" w:eastAsia="仿宋" w:cs="仿宋"/>
                <w:i w:val="0"/>
                <w:iCs w:val="0"/>
                <w:caps w:val="0"/>
                <w:color w:val="000000"/>
                <w:spacing w:val="0"/>
                <w:sz w:val="24"/>
                <w:szCs w:val="24"/>
                <w:shd w:val="clear"/>
                <w:lang w:eastAsia="zh-CN"/>
              </w:rPr>
              <w:t>洪良智，</w:t>
            </w:r>
            <w:r>
              <w:rPr>
                <w:rFonts w:hint="eastAsia" w:ascii="仿宋" w:hAnsi="仿宋" w:eastAsia="仿宋" w:cs="仿宋"/>
                <w:sz w:val="24"/>
                <w:szCs w:val="24"/>
                <w:vertAlign w:val="baseline"/>
                <w:lang w:val="en-US" w:eastAsia="zh-CN"/>
              </w:rPr>
              <w:t>苏健裕</w:t>
            </w:r>
            <w:r>
              <w:rPr>
                <w:rFonts w:hint="eastAsia" w:ascii="仿宋" w:hAnsi="仿宋" w:eastAsia="仿宋" w:cs="仿宋"/>
                <w:sz w:val="24"/>
                <w:szCs w:val="24"/>
                <w:lang w:val="en-US" w:eastAsia="zh-CN"/>
              </w:rPr>
              <w:t>&gt;</w:t>
            </w:r>
            <w:bookmarkEnd w:id="2"/>
          </w:p>
        </w:tc>
      </w:tr>
      <w:tr w14:paraId="15BB1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346" w:type="dxa"/>
            <w:vMerge w:val="continue"/>
            <w:tcBorders>
              <w:top w:val="single" w:color="auto" w:sz="4" w:space="0"/>
              <w:left w:val="single" w:color="auto" w:sz="4" w:space="0"/>
              <w:bottom w:val="single" w:color="auto" w:sz="4" w:space="0"/>
              <w:right w:val="single" w:color="auto" w:sz="4" w:space="0"/>
            </w:tcBorders>
            <w:vAlign w:val="center"/>
          </w:tcPr>
          <w:p w14:paraId="19FCC810">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tcBorders>
              <w:left w:val="single" w:color="auto" w:sz="4" w:space="0"/>
            </w:tcBorders>
            <w:tcMar>
              <w:top w:w="28" w:type="dxa"/>
              <w:left w:w="28" w:type="dxa"/>
              <w:bottom w:w="0" w:type="dxa"/>
              <w:right w:w="0" w:type="dxa"/>
            </w:tcMar>
            <w:vAlign w:val="center"/>
          </w:tcPr>
          <w:p w14:paraId="49799FFD">
            <w:pPr>
              <w:keepNext w:val="0"/>
              <w:keepLines w:val="0"/>
              <w:pageBreakBefore w:val="0"/>
              <w:widowControl/>
              <w:kinsoku w:val="0"/>
              <w:wordWrap/>
              <w:overflowPunct/>
              <w:topLinePunct w:val="0"/>
              <w:autoSpaceDE w:val="0"/>
              <w:autoSpaceDN w:val="0"/>
              <w:bidi w:val="0"/>
              <w:adjustRightInd w:val="0"/>
              <w:snapToGrid w:val="0"/>
              <w:spacing w:line="260" w:lineRule="exact"/>
              <w:ind w:left="107" w:leftChars="51" w:firstLine="0" w:firstLineChars="0"/>
              <w:jc w:val="left"/>
              <w:rPr>
                <w:rFonts w:hint="eastAsia" w:ascii="仿宋" w:hAnsi="仿宋" w:eastAsia="仿宋" w:cs="仿宋"/>
                <w:color w:val="auto"/>
                <w:sz w:val="24"/>
                <w:szCs w:val="24"/>
                <w:lang w:val="en-US" w:eastAsia="zh-CN"/>
              </w:rPr>
            </w:pPr>
            <w:bookmarkStart w:id="3" w:name="OLE_LINK7"/>
            <w:r>
              <w:rPr>
                <w:rFonts w:hint="eastAsia" w:ascii="仿宋" w:hAnsi="仿宋" w:eastAsia="仿宋" w:cs="仿宋"/>
                <w:spacing w:val="8"/>
                <w:sz w:val="24"/>
                <w:szCs w:val="24"/>
              </w:rPr>
              <w:t>论文</w:t>
            </w:r>
            <w:r>
              <w:rPr>
                <w:rFonts w:hint="eastAsia" w:ascii="仿宋" w:hAnsi="仿宋" w:eastAsia="仿宋" w:cs="仿宋"/>
                <w:spacing w:val="8"/>
                <w:sz w:val="24"/>
                <w:szCs w:val="24"/>
                <w:lang w:val="en-US" w:eastAsia="zh-CN"/>
              </w:rPr>
              <w:t>5</w:t>
            </w:r>
            <w:r>
              <w:rPr>
                <w:rFonts w:hint="eastAsia" w:ascii="仿宋" w:hAnsi="仿宋" w:eastAsia="仿宋" w:cs="仿宋"/>
                <w:spacing w:val="8"/>
                <w:sz w:val="24"/>
                <w:szCs w:val="24"/>
              </w:rPr>
              <w:t>：</w:t>
            </w:r>
            <w:r>
              <w:rPr>
                <w:rFonts w:hint="eastAsia" w:ascii="仿宋" w:hAnsi="仿宋" w:eastAsia="仿宋" w:cs="仿宋"/>
                <w:spacing w:val="7"/>
                <w:sz w:val="24"/>
                <w:szCs w:val="24"/>
              </w:rPr>
              <w:t>&lt;</w:t>
            </w:r>
            <w:r>
              <w:rPr>
                <w:rFonts w:hint="eastAsia" w:ascii="仿宋" w:hAnsi="仿宋" w:eastAsia="仿宋" w:cs="仿宋"/>
                <w:color w:val="auto"/>
                <w:sz w:val="24"/>
                <w:szCs w:val="24"/>
              </w:rPr>
              <w:t>龙脑精油分离组分对大肠杆菌运动及生物被膜形成的影响</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华南理工大学学报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自然科学版）</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2025</w:t>
            </w:r>
            <w:r>
              <w:rPr>
                <w:rFonts w:hint="eastAsia" w:ascii="仿宋" w:hAnsi="仿宋" w:eastAsia="仿宋" w:cs="仿宋"/>
                <w:color w:val="auto"/>
                <w:sz w:val="24"/>
                <w:szCs w:val="24"/>
                <w:lang w:val="en-US" w:eastAsia="zh-CN"/>
              </w:rPr>
              <w:t>年</w:t>
            </w:r>
            <w:r>
              <w:rPr>
                <w:rFonts w:hint="eastAsia" w:ascii="仿宋" w:hAnsi="仿宋" w:eastAsia="仿宋" w:cs="仿宋"/>
                <w:color w:val="auto"/>
                <w:sz w:val="24"/>
                <w:szCs w:val="24"/>
              </w:rPr>
              <w:t>53</w:t>
            </w:r>
            <w:r>
              <w:rPr>
                <w:rFonts w:hint="eastAsia" w:ascii="仿宋" w:hAnsi="仿宋" w:eastAsia="仿宋" w:cs="仿宋"/>
                <w:color w:val="auto"/>
                <w:sz w:val="24"/>
                <w:szCs w:val="24"/>
                <w:lang w:val="en-US" w:eastAsia="zh-CN"/>
              </w:rPr>
              <w:t>卷</w:t>
            </w:r>
            <w:r>
              <w:rPr>
                <w:rFonts w:hint="eastAsia" w:ascii="仿宋" w:hAnsi="仿宋" w:eastAsia="仿宋" w:cs="仿宋"/>
                <w:sz w:val="24"/>
                <w:szCs w:val="24"/>
                <w:lang w:eastAsia="zh-CN"/>
              </w:rPr>
              <w:t>，</w:t>
            </w:r>
            <w:r>
              <w:rPr>
                <w:rFonts w:hint="eastAsia" w:ascii="仿宋" w:hAnsi="仿宋" w:eastAsia="仿宋" w:cs="仿宋"/>
                <w:i w:val="0"/>
                <w:iCs w:val="0"/>
                <w:color w:val="auto"/>
                <w:sz w:val="24"/>
                <w:szCs w:val="24"/>
                <w:lang w:val="en-US" w:eastAsia="zh-CN"/>
              </w:rPr>
              <w:t>第一作者：</w:t>
            </w:r>
            <w:r>
              <w:rPr>
                <w:rFonts w:hint="eastAsia" w:ascii="仿宋" w:hAnsi="仿宋" w:eastAsia="仿宋" w:cs="仿宋"/>
                <w:color w:val="auto"/>
                <w:spacing w:val="-6"/>
                <w:sz w:val="24"/>
                <w:szCs w:val="24"/>
              </w:rPr>
              <w:t>范鹏辉</w:t>
            </w:r>
            <w:r>
              <w:rPr>
                <w:rFonts w:hint="eastAsia" w:ascii="仿宋" w:hAnsi="仿宋" w:eastAsia="仿宋" w:cs="仿宋"/>
                <w:color w:val="auto"/>
                <w:spacing w:val="-6"/>
                <w:sz w:val="24"/>
                <w:szCs w:val="24"/>
                <w:lang w:eastAsia="zh-CN"/>
              </w:rPr>
              <w:t>，</w:t>
            </w:r>
            <w:r>
              <w:rPr>
                <w:rFonts w:hint="eastAsia" w:ascii="仿宋" w:hAnsi="仿宋" w:eastAsia="仿宋" w:cs="仿宋"/>
                <w:spacing w:val="-6"/>
                <w:sz w:val="24"/>
                <w:szCs w:val="24"/>
                <w:vertAlign w:val="baseline"/>
                <w:lang w:val="en-US" w:eastAsia="zh-CN"/>
              </w:rPr>
              <w:t>通讯作者：</w:t>
            </w:r>
            <w:r>
              <w:rPr>
                <w:rFonts w:hint="eastAsia" w:ascii="仿宋" w:hAnsi="仿宋" w:eastAsia="仿宋" w:cs="仿宋"/>
                <w:color w:val="auto"/>
                <w:spacing w:val="-6"/>
                <w:sz w:val="24"/>
                <w:szCs w:val="24"/>
              </w:rPr>
              <w:t>苏健裕</w:t>
            </w:r>
            <w:r>
              <w:rPr>
                <w:rFonts w:hint="eastAsia" w:ascii="仿宋" w:hAnsi="仿宋" w:eastAsia="仿宋" w:cs="仿宋"/>
                <w:color w:val="auto"/>
                <w:spacing w:val="-6"/>
                <w:sz w:val="24"/>
                <w:szCs w:val="24"/>
                <w:lang w:val="en-US" w:eastAsia="zh-CN"/>
              </w:rPr>
              <w:t>&gt;</w:t>
            </w:r>
            <w:bookmarkEnd w:id="3"/>
          </w:p>
        </w:tc>
      </w:tr>
      <w:tr w14:paraId="4EFA0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1" w:hRule="atLeast"/>
        </w:trPr>
        <w:tc>
          <w:tcPr>
            <w:tcW w:w="1346" w:type="dxa"/>
            <w:vMerge w:val="restart"/>
            <w:tcBorders>
              <w:top w:val="single" w:color="auto" w:sz="4" w:space="0"/>
            </w:tcBorders>
            <w:shd w:val="clear" w:color="auto" w:fill="auto"/>
            <w:vAlign w:val="center"/>
          </w:tcPr>
          <w:p w14:paraId="44945FC1">
            <w:pPr>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b/>
                <w:bCs/>
                <w:snapToGrid w:val="0"/>
                <w:color w:val="000000"/>
                <w:kern w:val="0"/>
                <w:sz w:val="24"/>
                <w:szCs w:val="24"/>
                <w:lang w:val="en-US" w:eastAsia="zh-CN" w:bidi="ar-SA"/>
              </w:rPr>
            </w:pPr>
            <w:r>
              <w:rPr>
                <w:rFonts w:hint="eastAsia" w:ascii="仿宋" w:hAnsi="仿宋" w:eastAsia="仿宋" w:cs="仿宋"/>
                <w:b/>
                <w:bCs/>
                <w:sz w:val="24"/>
                <w:szCs w:val="24"/>
              </w:rPr>
              <w:t>知识产权名称</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限10项</w:t>
            </w:r>
            <w:r>
              <w:rPr>
                <w:rFonts w:hint="eastAsia" w:ascii="仿宋" w:hAnsi="仿宋" w:eastAsia="仿宋" w:cs="仿宋"/>
                <w:b/>
                <w:bCs/>
                <w:sz w:val="24"/>
                <w:szCs w:val="24"/>
                <w:lang w:eastAsia="zh-CN"/>
              </w:rPr>
              <w:t>）</w:t>
            </w:r>
          </w:p>
          <w:p w14:paraId="1CF41F87">
            <w:pPr>
              <w:keepNext w:val="0"/>
              <w:keepLines w:val="0"/>
              <w:pageBreakBefore w:val="0"/>
              <w:widowControl/>
              <w:kinsoku w:val="0"/>
              <w:wordWrap/>
              <w:overflowPunct/>
              <w:topLinePunct w:val="0"/>
              <w:autoSpaceDE w:val="0"/>
              <w:autoSpaceDN w:val="0"/>
              <w:bidi w:val="0"/>
              <w:adjustRightInd w:val="0"/>
              <w:snapToGrid w:val="0"/>
              <w:spacing w:line="240" w:lineRule="auto"/>
              <w:ind w:left="399" w:right="283" w:hanging="103"/>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460A9C42">
            <w:pPr>
              <w:keepNext w:val="0"/>
              <w:keepLines w:val="0"/>
              <w:pageBreakBefore w:val="0"/>
              <w:widowControl/>
              <w:kinsoku w:val="0"/>
              <w:wordWrap/>
              <w:overflowPunct/>
              <w:topLinePunct w:val="0"/>
              <w:autoSpaceDE w:val="0"/>
              <w:autoSpaceDN w:val="0"/>
              <w:bidi w:val="0"/>
              <w:adjustRightInd w:val="0"/>
              <w:snapToGrid w:val="0"/>
              <w:spacing w:line="260" w:lineRule="exact"/>
              <w:ind w:left="107" w:leftChars="51" w:firstLine="0" w:firstLineChars="0"/>
              <w:jc w:val="left"/>
              <w:rPr>
                <w:rFonts w:hint="eastAsia" w:ascii="仿宋" w:hAnsi="仿宋" w:eastAsia="仿宋" w:cs="仿宋"/>
                <w:sz w:val="24"/>
                <w:szCs w:val="24"/>
                <w:lang w:val="en-US" w:eastAsia="en-US"/>
              </w:rPr>
            </w:pPr>
            <w:r>
              <w:rPr>
                <w:rFonts w:hint="eastAsia" w:ascii="仿宋" w:hAnsi="仿宋" w:eastAsia="仿宋" w:cs="仿宋"/>
                <w:spacing w:val="5"/>
                <w:sz w:val="24"/>
                <w:szCs w:val="24"/>
              </w:rPr>
              <w:t>专利1：</w:t>
            </w:r>
            <w:r>
              <w:rPr>
                <w:rFonts w:hint="eastAsia" w:ascii="仿宋" w:hAnsi="仿宋" w:eastAsia="仿宋" w:cs="仿宋"/>
                <w:spacing w:val="7"/>
                <w:sz w:val="24"/>
                <w:szCs w:val="24"/>
              </w:rPr>
              <w:t>&lt;</w:t>
            </w:r>
            <w:r>
              <w:rPr>
                <w:rFonts w:hint="eastAsia" w:ascii="仿宋" w:hAnsi="仿宋" w:eastAsia="仿宋" w:cs="仿宋"/>
                <w:sz w:val="24"/>
                <w:szCs w:val="24"/>
              </w:rPr>
              <w:t>名称：</w:t>
            </w:r>
            <w:r>
              <w:rPr>
                <w:rFonts w:hint="eastAsia" w:ascii="仿宋" w:hAnsi="仿宋" w:eastAsia="仿宋" w:cs="仿宋"/>
                <w:i w:val="0"/>
                <w:color w:val="000000"/>
                <w:kern w:val="0"/>
                <w:sz w:val="24"/>
                <w:szCs w:val="24"/>
                <w:u w:val="none"/>
                <w:lang w:val="en-US" w:eastAsia="zh-CN" w:bidi="ar"/>
              </w:rPr>
              <w:t xml:space="preserve">An effective method of extracting monoterpene compouds from </w:t>
            </w:r>
            <w:r>
              <w:rPr>
                <w:rFonts w:hint="eastAsia" w:ascii="仿宋" w:hAnsi="仿宋" w:eastAsia="仿宋" w:cs="仿宋"/>
                <w:i/>
                <w:iCs/>
                <w:color w:val="000000"/>
                <w:kern w:val="0"/>
                <w:sz w:val="24"/>
                <w:szCs w:val="24"/>
                <w:u w:val="none"/>
                <w:lang w:val="en-US" w:eastAsia="zh-CN" w:bidi="ar"/>
              </w:rPr>
              <w:t>Cinnamomum</w:t>
            </w:r>
            <w:r>
              <w:rPr>
                <w:rFonts w:hint="eastAsia" w:ascii="仿宋" w:hAnsi="仿宋" w:eastAsia="仿宋" w:cs="仿宋"/>
                <w:i w:val="0"/>
                <w:color w:val="000000"/>
                <w:kern w:val="0"/>
                <w:sz w:val="24"/>
                <w:szCs w:val="24"/>
                <w:u w:val="none"/>
                <w:lang w:val="en-US" w:eastAsia="zh-CN" w:bidi="ar"/>
              </w:rPr>
              <w:t xml:space="preserve"> spp</w:t>
            </w:r>
            <w:r>
              <w:rPr>
                <w:rFonts w:hint="eastAsia" w:ascii="仿宋" w:hAnsi="仿宋" w:eastAsia="仿宋" w:cs="仿宋"/>
                <w:sz w:val="24"/>
                <w:szCs w:val="24"/>
                <w:lang w:eastAsia="zh-CN"/>
              </w:rPr>
              <w:t>，</w:t>
            </w:r>
            <w:r>
              <w:rPr>
                <w:rFonts w:hint="eastAsia" w:ascii="仿宋" w:hAnsi="仿宋" w:eastAsia="仿宋" w:cs="仿宋"/>
                <w:sz w:val="24"/>
                <w:szCs w:val="24"/>
              </w:rPr>
              <w:t>专利授权号：2028062</w:t>
            </w:r>
            <w:r>
              <w:rPr>
                <w:rFonts w:hint="eastAsia" w:ascii="仿宋" w:hAnsi="仿宋" w:eastAsia="仿宋" w:cs="仿宋"/>
                <w:sz w:val="24"/>
                <w:szCs w:val="24"/>
                <w:lang w:eastAsia="zh-CN"/>
              </w:rPr>
              <w:t>，</w:t>
            </w:r>
            <w:r>
              <w:rPr>
                <w:rFonts w:hint="eastAsia" w:ascii="仿宋" w:hAnsi="仿宋" w:eastAsia="仿宋" w:cs="仿宋"/>
                <w:i w:val="0"/>
                <w:color w:val="000000"/>
                <w:kern w:val="0"/>
                <w:sz w:val="24"/>
                <w:szCs w:val="24"/>
                <w:u w:val="none"/>
                <w:lang w:val="en-US" w:eastAsia="zh-CN" w:bidi="ar"/>
              </w:rPr>
              <w:t>发明人：</w:t>
            </w:r>
            <w:r>
              <w:rPr>
                <w:rFonts w:hint="eastAsia" w:ascii="仿宋" w:hAnsi="仿宋" w:eastAsia="仿宋" w:cs="仿宋"/>
                <w:sz w:val="24"/>
                <w:szCs w:val="24"/>
                <w:lang w:val="en-US" w:eastAsia="zh-CN"/>
              </w:rPr>
              <w:t>侯晨，谢佩吾，陈杰连，李毅，陈春如，尧俊，邱文霞，李泽波，蔡燕灵，白青松，连辉明，梁东成，何波祥，汪迎利，张谦；权利人：广东省林业科学研究院，广东森霖造绿有限公司，广东尚善环境建设有限公司</w:t>
            </w:r>
            <w:bookmarkStart w:id="4" w:name="OLE_LINK5"/>
            <w:r>
              <w:rPr>
                <w:rFonts w:hint="eastAsia" w:ascii="仿宋" w:hAnsi="仿宋" w:eastAsia="仿宋" w:cs="仿宋"/>
                <w:color w:val="auto"/>
                <w:sz w:val="24"/>
                <w:szCs w:val="24"/>
                <w:lang w:val="en-US" w:eastAsia="zh-CN"/>
              </w:rPr>
              <w:t>&gt;</w:t>
            </w:r>
            <w:bookmarkEnd w:id="4"/>
          </w:p>
        </w:tc>
      </w:tr>
      <w:tr w14:paraId="5B74B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7" w:hRule="atLeast"/>
        </w:trPr>
        <w:tc>
          <w:tcPr>
            <w:tcW w:w="1346" w:type="dxa"/>
            <w:vMerge w:val="continue"/>
            <w:vAlign w:val="center"/>
          </w:tcPr>
          <w:p w14:paraId="7F9CF67A">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301CD0F4">
            <w:pPr>
              <w:keepNext w:val="0"/>
              <w:keepLines w:val="0"/>
              <w:pageBreakBefore w:val="0"/>
              <w:widowControl/>
              <w:kinsoku w:val="0"/>
              <w:wordWrap/>
              <w:overflowPunct/>
              <w:topLinePunct w:val="0"/>
              <w:autoSpaceDE w:val="0"/>
              <w:autoSpaceDN w:val="0"/>
              <w:bidi w:val="0"/>
              <w:adjustRightInd w:val="0"/>
              <w:snapToGrid w:val="0"/>
              <w:spacing w:line="260" w:lineRule="exact"/>
              <w:ind w:left="107" w:leftChars="51" w:firstLine="0" w:firstLineChars="0"/>
              <w:jc w:val="left"/>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专利</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pacing w:val="7"/>
                <w:sz w:val="24"/>
                <w:szCs w:val="24"/>
              </w:rPr>
              <w:t>&lt;</w:t>
            </w:r>
            <w:r>
              <w:rPr>
                <w:rFonts w:hint="eastAsia" w:ascii="仿宋" w:hAnsi="仿宋" w:eastAsia="仿宋" w:cs="仿宋"/>
                <w:sz w:val="24"/>
                <w:szCs w:val="24"/>
              </w:rPr>
              <w:t>名称：</w:t>
            </w:r>
            <w:r>
              <w:rPr>
                <w:rFonts w:hint="eastAsia" w:ascii="仿宋" w:hAnsi="仿宋" w:eastAsia="仿宋" w:cs="仿宋"/>
                <w:sz w:val="24"/>
                <w:szCs w:val="24"/>
                <w:vertAlign w:val="baseline"/>
                <w:lang w:val="en-US" w:eastAsia="zh-CN"/>
              </w:rPr>
              <w:t>一种与阴香植物龙脑含量紧密关联的基因，SNP分子标记及其引物和应用，</w:t>
            </w:r>
            <w:r>
              <w:rPr>
                <w:rFonts w:hint="eastAsia" w:ascii="仿宋" w:hAnsi="仿宋" w:eastAsia="仿宋" w:cs="仿宋"/>
                <w:sz w:val="24"/>
                <w:szCs w:val="24"/>
              </w:rPr>
              <w:t>专利授权号：ZL202310418893</w:t>
            </w:r>
            <w:r>
              <w:rPr>
                <w:rFonts w:hint="eastAsia" w:ascii="仿宋" w:hAnsi="仿宋" w:eastAsia="仿宋" w:cs="仿宋"/>
                <w:sz w:val="24"/>
                <w:szCs w:val="24"/>
                <w:lang w:val="en-US" w:eastAsia="zh-CN"/>
              </w:rPr>
              <w:t>.0</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发明人：</w:t>
            </w:r>
            <w:r>
              <w:rPr>
                <w:rFonts w:hint="eastAsia" w:ascii="仿宋" w:hAnsi="仿宋" w:eastAsia="仿宋" w:cs="仿宋"/>
                <w:sz w:val="24"/>
                <w:szCs w:val="24"/>
              </w:rPr>
              <w:t>侯晨</w:t>
            </w:r>
            <w:r>
              <w:rPr>
                <w:rFonts w:hint="eastAsia" w:ascii="仿宋" w:hAnsi="仿宋" w:eastAsia="仿宋" w:cs="仿宋"/>
                <w:sz w:val="24"/>
                <w:szCs w:val="24"/>
                <w:lang w:eastAsia="zh-CN"/>
              </w:rPr>
              <w:t>，</w:t>
            </w:r>
            <w:r>
              <w:rPr>
                <w:rFonts w:hint="eastAsia" w:ascii="仿宋" w:hAnsi="仿宋" w:eastAsia="仿宋" w:cs="仿宋"/>
                <w:sz w:val="24"/>
                <w:szCs w:val="24"/>
              </w:rPr>
              <w:t>张宏博</w:t>
            </w:r>
            <w:r>
              <w:rPr>
                <w:rFonts w:hint="eastAsia" w:ascii="仿宋" w:hAnsi="仿宋" w:eastAsia="仿宋" w:cs="仿宋"/>
                <w:sz w:val="24"/>
                <w:szCs w:val="24"/>
                <w:lang w:eastAsia="zh-CN"/>
              </w:rPr>
              <w:t>，</w:t>
            </w:r>
            <w:r>
              <w:rPr>
                <w:rFonts w:hint="eastAsia" w:ascii="仿宋" w:hAnsi="仿宋" w:eastAsia="仿宋" w:cs="仿宋"/>
                <w:sz w:val="24"/>
                <w:szCs w:val="24"/>
              </w:rPr>
              <w:t>张谦</w:t>
            </w:r>
            <w:r>
              <w:rPr>
                <w:rFonts w:hint="eastAsia" w:ascii="仿宋" w:hAnsi="仿宋" w:eastAsia="仿宋" w:cs="仿宋"/>
                <w:sz w:val="24"/>
                <w:szCs w:val="24"/>
                <w:lang w:eastAsia="zh-CN"/>
              </w:rPr>
              <w:t>，</w:t>
            </w:r>
            <w:r>
              <w:rPr>
                <w:rFonts w:hint="eastAsia" w:ascii="仿宋" w:hAnsi="仿宋" w:eastAsia="仿宋" w:cs="仿宋"/>
                <w:sz w:val="24"/>
                <w:szCs w:val="24"/>
              </w:rPr>
              <w:t>何波祥</w:t>
            </w:r>
            <w:r>
              <w:rPr>
                <w:rFonts w:hint="eastAsia" w:ascii="仿宋" w:hAnsi="仿宋" w:eastAsia="仿宋" w:cs="仿宋"/>
                <w:sz w:val="24"/>
                <w:szCs w:val="24"/>
                <w:lang w:eastAsia="zh-CN"/>
              </w:rPr>
              <w:t>，</w:t>
            </w:r>
            <w:r>
              <w:rPr>
                <w:rFonts w:hint="eastAsia" w:ascii="仿宋" w:hAnsi="仿宋" w:eastAsia="仿宋" w:cs="仿宋"/>
                <w:sz w:val="24"/>
                <w:szCs w:val="24"/>
              </w:rPr>
              <w:t>汪迎利</w:t>
            </w:r>
            <w:r>
              <w:rPr>
                <w:rFonts w:hint="eastAsia" w:ascii="仿宋" w:hAnsi="仿宋" w:eastAsia="仿宋" w:cs="仿宋"/>
                <w:sz w:val="24"/>
                <w:szCs w:val="24"/>
                <w:lang w:eastAsia="zh-CN"/>
              </w:rPr>
              <w:t>，</w:t>
            </w:r>
            <w:r>
              <w:rPr>
                <w:rFonts w:hint="eastAsia" w:ascii="仿宋" w:hAnsi="仿宋" w:eastAsia="仿宋" w:cs="仿宋"/>
                <w:sz w:val="24"/>
                <w:szCs w:val="24"/>
              </w:rPr>
              <w:t>连辉明</w:t>
            </w:r>
            <w:r>
              <w:rPr>
                <w:rFonts w:hint="eastAsia" w:ascii="仿宋" w:hAnsi="仿宋" w:eastAsia="仿宋" w:cs="仿宋"/>
                <w:sz w:val="24"/>
                <w:szCs w:val="24"/>
                <w:lang w:eastAsia="zh-CN"/>
              </w:rPr>
              <w:t>，</w:t>
            </w:r>
            <w:r>
              <w:rPr>
                <w:rFonts w:hint="eastAsia" w:ascii="仿宋" w:hAnsi="仿宋" w:eastAsia="仿宋" w:cs="仿宋"/>
                <w:sz w:val="24"/>
                <w:szCs w:val="24"/>
              </w:rPr>
              <w:t>梁东成</w:t>
            </w:r>
            <w:r>
              <w:rPr>
                <w:rFonts w:hint="eastAsia" w:ascii="仿宋" w:hAnsi="仿宋" w:eastAsia="仿宋" w:cs="仿宋"/>
                <w:sz w:val="24"/>
                <w:szCs w:val="24"/>
                <w:lang w:eastAsia="zh-CN"/>
              </w:rPr>
              <w:t>，</w:t>
            </w:r>
            <w:r>
              <w:rPr>
                <w:rFonts w:hint="eastAsia" w:ascii="仿宋" w:hAnsi="仿宋" w:eastAsia="仿宋" w:cs="仿宋"/>
                <w:sz w:val="24"/>
                <w:szCs w:val="24"/>
              </w:rPr>
              <w:t>谢佩吾</w:t>
            </w:r>
            <w:r>
              <w:rPr>
                <w:rFonts w:hint="eastAsia" w:ascii="仿宋" w:hAnsi="仿宋" w:eastAsia="仿宋" w:cs="仿宋"/>
                <w:sz w:val="24"/>
                <w:szCs w:val="24"/>
                <w:lang w:eastAsia="zh-CN"/>
              </w:rPr>
              <w:t>，</w:t>
            </w:r>
            <w:r>
              <w:rPr>
                <w:rFonts w:hint="eastAsia" w:ascii="仿宋" w:hAnsi="仿宋" w:eastAsia="仿宋" w:cs="仿宋"/>
                <w:sz w:val="24"/>
                <w:szCs w:val="24"/>
              </w:rPr>
              <w:t>陈杰连</w:t>
            </w:r>
            <w:r>
              <w:rPr>
                <w:rFonts w:hint="eastAsia" w:ascii="仿宋" w:hAnsi="仿宋" w:eastAsia="仿宋" w:cs="仿宋"/>
                <w:sz w:val="24"/>
                <w:szCs w:val="24"/>
                <w:lang w:eastAsia="zh-CN"/>
              </w:rPr>
              <w:t>，</w:t>
            </w:r>
            <w:r>
              <w:rPr>
                <w:rFonts w:hint="eastAsia" w:ascii="仿宋" w:hAnsi="仿宋" w:eastAsia="仿宋" w:cs="仿宋"/>
                <w:sz w:val="24"/>
                <w:szCs w:val="24"/>
              </w:rPr>
              <w:t>蔡燕灵</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权利人：</w:t>
            </w:r>
            <w:r>
              <w:rPr>
                <w:rFonts w:hint="eastAsia" w:ascii="仿宋" w:hAnsi="仿宋" w:eastAsia="仿宋" w:cs="仿宋"/>
                <w:sz w:val="24"/>
                <w:szCs w:val="24"/>
              </w:rPr>
              <w:t>广东省林业科学研究院</w:t>
            </w:r>
            <w:r>
              <w:rPr>
                <w:rFonts w:hint="eastAsia" w:ascii="仿宋" w:hAnsi="仿宋" w:eastAsia="仿宋" w:cs="仿宋"/>
                <w:color w:val="auto"/>
                <w:sz w:val="24"/>
                <w:szCs w:val="24"/>
                <w:lang w:val="en-US" w:eastAsia="zh-CN"/>
              </w:rPr>
              <w:t>&gt;</w:t>
            </w:r>
          </w:p>
        </w:tc>
      </w:tr>
      <w:tr w14:paraId="27D4E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9" w:hRule="atLeast"/>
        </w:trPr>
        <w:tc>
          <w:tcPr>
            <w:tcW w:w="1346" w:type="dxa"/>
            <w:vMerge w:val="continue"/>
            <w:vAlign w:val="center"/>
          </w:tcPr>
          <w:p w14:paraId="7666FB58">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05A6A937">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专利</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pacing w:val="7"/>
                <w:sz w:val="24"/>
                <w:szCs w:val="24"/>
              </w:rPr>
              <w:t>&lt;</w:t>
            </w:r>
            <w:r>
              <w:rPr>
                <w:rFonts w:hint="eastAsia" w:ascii="仿宋" w:hAnsi="仿宋" w:eastAsia="仿宋" w:cs="仿宋"/>
                <w:sz w:val="24"/>
                <w:szCs w:val="24"/>
              </w:rPr>
              <w:t>名称</w:t>
            </w:r>
            <w:r>
              <w:rPr>
                <w:rFonts w:hint="eastAsia" w:ascii="仿宋" w:hAnsi="仿宋" w:eastAsia="仿宋" w:cs="仿宋"/>
                <w:sz w:val="24"/>
                <w:szCs w:val="24"/>
                <w:lang w:eastAsia="zh-CN"/>
              </w:rPr>
              <w:t>：一种阴香组织培养快速繁殖的方法</w:t>
            </w:r>
            <w:r>
              <w:rPr>
                <w:rFonts w:hint="eastAsia" w:ascii="仿宋" w:hAnsi="仿宋" w:eastAsia="仿宋" w:cs="仿宋"/>
                <w:sz w:val="24"/>
                <w:szCs w:val="24"/>
                <w:lang w:val="en-US" w:eastAsia="zh-CN"/>
              </w:rPr>
              <w:t>,</w:t>
            </w:r>
            <w:r>
              <w:rPr>
                <w:rFonts w:hint="eastAsia" w:ascii="仿宋" w:hAnsi="仿宋" w:eastAsia="仿宋" w:cs="仿宋"/>
                <w:sz w:val="24"/>
                <w:szCs w:val="24"/>
              </w:rPr>
              <w:t>专利授权号</w:t>
            </w:r>
            <w:r>
              <w:rPr>
                <w:rFonts w:hint="eastAsia" w:ascii="仿宋" w:hAnsi="仿宋" w:eastAsia="仿宋" w:cs="仿宋"/>
                <w:sz w:val="24"/>
                <w:szCs w:val="24"/>
                <w:lang w:eastAsia="zh-CN"/>
              </w:rPr>
              <w:t>：</w:t>
            </w:r>
            <w:r>
              <w:rPr>
                <w:rFonts w:hint="eastAsia" w:ascii="仿宋" w:hAnsi="仿宋" w:eastAsia="仿宋" w:cs="仿宋"/>
                <w:sz w:val="24"/>
                <w:szCs w:val="24"/>
              </w:rPr>
              <w:t>ZL202211032443.X</w:t>
            </w:r>
            <w:r>
              <w:rPr>
                <w:rFonts w:hint="eastAsia" w:ascii="仿宋" w:hAnsi="仿宋" w:eastAsia="仿宋" w:cs="仿宋"/>
                <w:sz w:val="24"/>
                <w:szCs w:val="24"/>
                <w:lang w:val="en-US" w:eastAsia="zh-CN"/>
              </w:rPr>
              <w:t>，</w:t>
            </w:r>
            <w:r>
              <w:rPr>
                <w:rFonts w:hint="eastAsia" w:ascii="仿宋" w:hAnsi="仿宋" w:eastAsia="仿宋" w:cs="仿宋"/>
                <w:i w:val="0"/>
                <w:color w:val="000000"/>
                <w:kern w:val="0"/>
                <w:sz w:val="24"/>
                <w:szCs w:val="24"/>
                <w:u w:val="none"/>
                <w:lang w:val="en-US" w:eastAsia="zh-CN" w:bidi="ar"/>
              </w:rPr>
              <w:t>发明人：</w:t>
            </w:r>
            <w:r>
              <w:rPr>
                <w:rFonts w:hint="eastAsia" w:ascii="仿宋" w:hAnsi="仿宋" w:eastAsia="仿宋" w:cs="仿宋"/>
                <w:i w:val="0"/>
                <w:color w:val="000000"/>
                <w:kern w:val="0"/>
                <w:sz w:val="24"/>
                <w:szCs w:val="24"/>
                <w:highlight w:val="none"/>
                <w:u w:val="none"/>
                <w:lang w:val="en-US" w:eastAsia="zh-CN" w:bidi="ar"/>
              </w:rPr>
              <w:t>林善枝，修宇，何波祥，蔡燕灵，梁东成，张谦，陈峰，林子欣，王紫睿</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权利人：北京林业大学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广东省林业科学研究院</w:t>
            </w:r>
            <w:bookmarkStart w:id="5" w:name="OLE_LINK10"/>
            <w:r>
              <w:rPr>
                <w:rFonts w:hint="eastAsia" w:ascii="仿宋" w:hAnsi="仿宋" w:eastAsia="仿宋" w:cs="仿宋"/>
                <w:sz w:val="24"/>
                <w:szCs w:val="24"/>
                <w:lang w:val="en-US" w:eastAsia="zh-CN"/>
              </w:rPr>
              <w:t>&gt;</w:t>
            </w:r>
            <w:bookmarkEnd w:id="5"/>
          </w:p>
        </w:tc>
      </w:tr>
      <w:tr w14:paraId="53568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1346" w:type="dxa"/>
            <w:vMerge w:val="continue"/>
            <w:vAlign w:val="center"/>
          </w:tcPr>
          <w:p w14:paraId="697312F0">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5C27959A">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snapToGrid w:val="0"/>
                <w:color w:val="000000"/>
                <w:kern w:val="0"/>
                <w:sz w:val="24"/>
                <w:szCs w:val="24"/>
                <w:highlight w:val="none"/>
                <w:vertAlign w:val="baseline"/>
                <w:lang w:val="en-US" w:eastAsia="en-US" w:bidi="ar-SA"/>
              </w:rPr>
            </w:pPr>
            <w:r>
              <w:rPr>
                <w:rFonts w:hint="eastAsia" w:ascii="仿宋" w:hAnsi="仿宋" w:eastAsia="仿宋" w:cs="仿宋"/>
                <w:sz w:val="24"/>
                <w:szCs w:val="24"/>
              </w:rPr>
              <w:t>专利</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pacing w:val="7"/>
                <w:sz w:val="24"/>
                <w:szCs w:val="24"/>
              </w:rPr>
              <w:t>&lt;</w:t>
            </w:r>
            <w:r>
              <w:rPr>
                <w:rFonts w:hint="eastAsia" w:ascii="仿宋" w:hAnsi="仿宋" w:eastAsia="仿宋" w:cs="仿宋"/>
                <w:sz w:val="24"/>
                <w:szCs w:val="24"/>
              </w:rPr>
              <w:t>名称：ボルネオ-ルベ-スのポリマ-ならひにその調裂方法およひ応用</w:t>
            </w:r>
            <w:r>
              <w:rPr>
                <w:rFonts w:hint="eastAsia" w:ascii="仿宋" w:hAnsi="仿宋" w:eastAsia="仿宋" w:cs="仿宋"/>
                <w:sz w:val="24"/>
                <w:szCs w:val="24"/>
                <w:lang w:eastAsia="zh-CN"/>
              </w:rPr>
              <w:t>，</w:t>
            </w:r>
            <w:r>
              <w:rPr>
                <w:rFonts w:hint="eastAsia" w:ascii="仿宋" w:hAnsi="仿宋" w:eastAsia="仿宋" w:cs="仿宋"/>
                <w:sz w:val="24"/>
                <w:szCs w:val="24"/>
              </w:rPr>
              <w:t>专利授权号：P7464949</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发明人：</w:t>
            </w:r>
            <w:r>
              <w:rPr>
                <w:rFonts w:hint="eastAsia" w:ascii="仿宋" w:hAnsi="仿宋" w:eastAsia="仿宋" w:cs="仿宋"/>
                <w:color w:val="auto"/>
                <w:sz w:val="24"/>
                <w:szCs w:val="24"/>
              </w:rPr>
              <w:t>苏健裕</w:t>
            </w:r>
            <w:r>
              <w:rPr>
                <w:rFonts w:hint="eastAsia" w:ascii="仿宋" w:hAnsi="仿宋" w:eastAsia="仿宋" w:cs="仿宋"/>
                <w:color w:val="auto"/>
                <w:sz w:val="24"/>
                <w:szCs w:val="24"/>
                <w:lang w:val="en-US" w:eastAsia="zh-CN"/>
              </w:rPr>
              <w:t>，杨柳，方立明，孟晓风；</w:t>
            </w:r>
            <w:r>
              <w:rPr>
                <w:rFonts w:hint="eastAsia" w:ascii="仿宋" w:hAnsi="仿宋" w:eastAsia="仿宋" w:cs="仿宋"/>
                <w:sz w:val="24"/>
                <w:szCs w:val="24"/>
                <w:lang w:val="en-US" w:eastAsia="zh-CN"/>
              </w:rPr>
              <w:t>权利人：华工新颜（深圳）科技有限公司&gt;</w:t>
            </w:r>
          </w:p>
        </w:tc>
      </w:tr>
      <w:tr w14:paraId="69278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1346" w:type="dxa"/>
            <w:vMerge w:val="continue"/>
            <w:vAlign w:val="center"/>
          </w:tcPr>
          <w:p w14:paraId="496BC21D">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377E927C">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sz w:val="24"/>
                <w:szCs w:val="24"/>
                <w:lang w:val="en-US" w:eastAsia="en-US"/>
              </w:rPr>
            </w:pPr>
            <w:r>
              <w:rPr>
                <w:rFonts w:hint="eastAsia" w:ascii="仿宋" w:hAnsi="仿宋" w:eastAsia="仿宋" w:cs="仿宋"/>
                <w:sz w:val="24"/>
                <w:szCs w:val="24"/>
                <w:highlight w:val="none"/>
              </w:rPr>
              <w:t>专利</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w:t>
            </w:r>
            <w:r>
              <w:rPr>
                <w:rFonts w:hint="eastAsia" w:ascii="仿宋" w:hAnsi="仿宋" w:eastAsia="仿宋" w:cs="仿宋"/>
                <w:spacing w:val="7"/>
                <w:sz w:val="24"/>
                <w:szCs w:val="24"/>
                <w:highlight w:val="none"/>
              </w:rPr>
              <w:t>&lt;</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eastAsia="zh-CN"/>
              </w:rPr>
              <w:t>：一种祛眼袋的梅片龙脑香可溶性微针眼贴及其制备方法</w:t>
            </w:r>
            <w:r>
              <w:rPr>
                <w:rFonts w:hint="eastAsia" w:ascii="仿宋" w:hAnsi="仿宋" w:eastAsia="仿宋" w:cs="仿宋"/>
                <w:sz w:val="24"/>
                <w:szCs w:val="24"/>
                <w:highlight w:val="none"/>
                <w:lang w:val="en-US" w:eastAsia="zh-CN"/>
              </w:rPr>
              <w:t>,专利授权号：</w:t>
            </w:r>
            <w:r>
              <w:rPr>
                <w:rFonts w:hint="eastAsia" w:ascii="仿宋" w:hAnsi="仿宋" w:eastAsia="仿宋" w:cs="仿宋"/>
                <w:sz w:val="24"/>
                <w:szCs w:val="24"/>
                <w:highlight w:val="none"/>
              </w:rPr>
              <w:t>ZL202210062434.9</w:t>
            </w:r>
            <w:r>
              <w:rPr>
                <w:rFonts w:hint="eastAsia" w:ascii="仿宋" w:hAnsi="仿宋" w:eastAsia="仿宋" w:cs="仿宋"/>
                <w:sz w:val="24"/>
                <w:szCs w:val="24"/>
                <w:highlight w:val="none"/>
                <w:lang w:eastAsia="zh-CN"/>
              </w:rPr>
              <w:t>，苏健裕，范鹏辉，吕满霞，侯玉超，王炎骄；</w:t>
            </w:r>
            <w:r>
              <w:rPr>
                <w:rFonts w:hint="eastAsia" w:ascii="仿宋" w:hAnsi="仿宋" w:eastAsia="仿宋" w:cs="仿宋"/>
                <w:sz w:val="24"/>
                <w:szCs w:val="24"/>
                <w:highlight w:val="none"/>
                <w:lang w:val="en-US" w:eastAsia="zh-CN"/>
              </w:rPr>
              <w:t>权利人：华工新颜（深圳）科技有限公司</w:t>
            </w:r>
            <w:r>
              <w:rPr>
                <w:rFonts w:hint="eastAsia" w:ascii="仿宋" w:hAnsi="仿宋" w:eastAsia="仿宋" w:cs="仿宋"/>
                <w:sz w:val="24"/>
                <w:szCs w:val="24"/>
                <w:lang w:val="en-US" w:eastAsia="zh-CN"/>
              </w:rPr>
              <w:t>&gt;</w:t>
            </w:r>
          </w:p>
        </w:tc>
      </w:tr>
      <w:tr w14:paraId="36B7C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1346" w:type="dxa"/>
            <w:vMerge w:val="continue"/>
            <w:vAlign w:val="center"/>
          </w:tcPr>
          <w:p w14:paraId="000155CF">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1EA82DDE">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rPr>
              <w:t>专利</w:t>
            </w:r>
            <w:r>
              <w:rPr>
                <w:rFonts w:hint="eastAsia" w:ascii="仿宋" w:hAnsi="仿宋" w:eastAsia="仿宋" w:cs="仿宋"/>
                <w:sz w:val="24"/>
                <w:szCs w:val="24"/>
                <w:lang w:val="en-US" w:eastAsia="zh-CN"/>
              </w:rPr>
              <w:t>6</w:t>
            </w:r>
            <w:r>
              <w:rPr>
                <w:rFonts w:hint="eastAsia" w:ascii="仿宋" w:hAnsi="仿宋" w:eastAsia="仿宋" w:cs="仿宋"/>
                <w:sz w:val="24"/>
                <w:szCs w:val="24"/>
              </w:rPr>
              <w:t>：</w:t>
            </w:r>
            <w:r>
              <w:rPr>
                <w:rFonts w:hint="eastAsia" w:ascii="仿宋" w:hAnsi="仿宋" w:eastAsia="仿宋" w:cs="仿宋"/>
                <w:spacing w:val="7"/>
                <w:sz w:val="24"/>
                <w:szCs w:val="24"/>
              </w:rPr>
              <w:t>&lt;</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eastAsia="zh-CN"/>
              </w:rPr>
              <w:t>：一种热响应型龙脑基蒸汽速溶微针眼贴膜及其制备方法与应用，</w:t>
            </w:r>
            <w:r>
              <w:rPr>
                <w:rFonts w:hint="eastAsia" w:ascii="仿宋" w:hAnsi="仿宋" w:eastAsia="仿宋" w:cs="仿宋"/>
                <w:sz w:val="24"/>
                <w:szCs w:val="24"/>
                <w:highlight w:val="none"/>
                <w:lang w:val="en-US" w:eastAsia="zh-CN"/>
              </w:rPr>
              <w:t>专利授权号：</w:t>
            </w:r>
            <w:r>
              <w:rPr>
                <w:rFonts w:hint="eastAsia" w:ascii="仿宋" w:hAnsi="仿宋" w:eastAsia="仿宋" w:cs="仿宋"/>
                <w:sz w:val="24"/>
                <w:szCs w:val="24"/>
                <w:highlight w:val="none"/>
              </w:rPr>
              <w:t>ZL20211101014665.4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发明人：范鹏辉，苏健裕，王炎骄，吕满霞，侯玉超</w:t>
            </w:r>
            <w:r>
              <w:rPr>
                <w:rFonts w:hint="eastAsia" w:ascii="仿宋" w:hAnsi="仿宋" w:eastAsia="仿宋" w:cs="仿宋"/>
                <w:sz w:val="24"/>
                <w:szCs w:val="24"/>
                <w:highlight w:val="none"/>
                <w:lang w:val="en-US" w:eastAsia="zh-CN"/>
              </w:rPr>
              <w:t>；权利人：</w:t>
            </w:r>
            <w:r>
              <w:rPr>
                <w:rFonts w:hint="eastAsia" w:ascii="仿宋" w:hAnsi="仿宋" w:eastAsia="仿宋" w:cs="仿宋"/>
                <w:sz w:val="24"/>
                <w:szCs w:val="24"/>
                <w:highlight w:val="none"/>
                <w:lang w:eastAsia="zh-CN"/>
              </w:rPr>
              <w:t>华工新颜（深圳）科技有限公司</w:t>
            </w:r>
            <w:r>
              <w:rPr>
                <w:rFonts w:hint="eastAsia" w:ascii="仿宋" w:hAnsi="仿宋" w:eastAsia="仿宋" w:cs="仿宋"/>
                <w:sz w:val="24"/>
                <w:szCs w:val="24"/>
                <w:lang w:val="en-US" w:eastAsia="zh-CN"/>
              </w:rPr>
              <w:t>&gt;</w:t>
            </w:r>
          </w:p>
        </w:tc>
      </w:tr>
      <w:tr w14:paraId="5284B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1346" w:type="dxa"/>
            <w:vMerge w:val="continue"/>
            <w:vAlign w:val="center"/>
          </w:tcPr>
          <w:p w14:paraId="48F9A841">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600B00C5">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专利7：</w:t>
            </w:r>
            <w:r>
              <w:rPr>
                <w:rFonts w:hint="eastAsia" w:ascii="仿宋" w:hAnsi="仿宋" w:eastAsia="仿宋" w:cs="仿宋"/>
                <w:spacing w:val="7"/>
                <w:sz w:val="24"/>
                <w:szCs w:val="24"/>
              </w:rPr>
              <w:t>&lt;</w:t>
            </w:r>
            <w:r>
              <w:rPr>
                <w:rFonts w:hint="eastAsia" w:ascii="仿宋" w:hAnsi="仿宋" w:eastAsia="仿宋" w:cs="仿宋"/>
                <w:sz w:val="24"/>
                <w:szCs w:val="24"/>
              </w:rPr>
              <w:t>名称</w:t>
            </w:r>
            <w:r>
              <w:rPr>
                <w:rFonts w:hint="eastAsia" w:ascii="仿宋" w:hAnsi="仿宋" w:eastAsia="仿宋" w:cs="仿宋"/>
                <w:sz w:val="24"/>
                <w:szCs w:val="24"/>
                <w:lang w:eastAsia="zh-CN"/>
              </w:rPr>
              <w:t>：一种肉桂</w:t>
            </w:r>
            <w:r>
              <w:rPr>
                <w:rFonts w:hint="eastAsia" w:ascii="仿宋" w:hAnsi="仿宋" w:eastAsia="仿宋" w:cs="仿宋"/>
                <w:sz w:val="24"/>
                <w:szCs w:val="24"/>
                <w:lang w:val="en-US" w:eastAsia="zh-CN"/>
              </w:rPr>
              <w:t>酰</w:t>
            </w:r>
            <w:r>
              <w:rPr>
                <w:rFonts w:hint="eastAsia" w:ascii="仿宋" w:hAnsi="仿宋" w:eastAsia="仿宋" w:cs="仿宋"/>
                <w:sz w:val="24"/>
                <w:szCs w:val="24"/>
                <w:lang w:eastAsia="zh-CN"/>
              </w:rPr>
              <w:t>缬氨酸龙脑酯及其制备方法与应用，</w:t>
            </w:r>
            <w:r>
              <w:rPr>
                <w:rFonts w:hint="eastAsia" w:ascii="仿宋" w:hAnsi="仿宋" w:eastAsia="仿宋" w:cs="仿宋"/>
                <w:sz w:val="24"/>
                <w:szCs w:val="24"/>
                <w:highlight w:val="none"/>
                <w:lang w:val="en-US" w:eastAsia="zh-CN"/>
              </w:rPr>
              <w:t>专利授权号：ZL202410091382.7，</w:t>
            </w:r>
            <w:r>
              <w:rPr>
                <w:rFonts w:hint="eastAsia" w:ascii="仿宋" w:hAnsi="仿宋" w:eastAsia="仿宋" w:cs="仿宋"/>
                <w:sz w:val="24"/>
                <w:szCs w:val="24"/>
                <w:lang w:val="en-US" w:eastAsia="zh-CN"/>
              </w:rPr>
              <w:t>发明人：</w:t>
            </w:r>
            <w:r>
              <w:rPr>
                <w:rFonts w:hint="eastAsia" w:ascii="仿宋" w:hAnsi="仿宋" w:eastAsia="仿宋" w:cs="仿宋"/>
                <w:sz w:val="24"/>
                <w:szCs w:val="24"/>
                <w:highlight w:val="none"/>
                <w:lang w:val="en-US" w:eastAsia="zh-CN"/>
              </w:rPr>
              <w:t>苏健裕，黄武雄，袁烁栎，万媛媛，范鹏辉；</w:t>
            </w:r>
            <w:r>
              <w:rPr>
                <w:rFonts w:hint="eastAsia" w:ascii="仿宋" w:hAnsi="仿宋" w:eastAsia="仿宋" w:cs="仿宋"/>
                <w:sz w:val="24"/>
                <w:szCs w:val="24"/>
                <w:lang w:val="en-US" w:eastAsia="zh-CN"/>
              </w:rPr>
              <w:t>权利人：华南理工大学&gt;</w:t>
            </w:r>
          </w:p>
        </w:tc>
      </w:tr>
      <w:tr w14:paraId="6633C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7" w:hRule="atLeast"/>
        </w:trPr>
        <w:tc>
          <w:tcPr>
            <w:tcW w:w="1346" w:type="dxa"/>
            <w:vMerge w:val="continue"/>
            <w:vAlign w:val="center"/>
          </w:tcPr>
          <w:p w14:paraId="6015FAF3">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5F5DF164">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rPr>
              <w:t>标准1：《龙脑型阴香扦插育苗技术规程》</w:t>
            </w:r>
            <w:r>
              <w:rPr>
                <w:rFonts w:hint="eastAsia" w:ascii="仿宋" w:hAnsi="仿宋" w:eastAsia="仿宋" w:cs="仿宋"/>
                <w:sz w:val="24"/>
                <w:szCs w:val="24"/>
                <w:highlight w:val="none"/>
                <w:lang w:eastAsia="zh-CN"/>
              </w:rPr>
              <w:t>（</w:t>
            </w:r>
            <w:r>
              <w:rPr>
                <w:rFonts w:hint="eastAsia" w:ascii="仿宋" w:hAnsi="仿宋" w:eastAsia="仿宋" w:cs="仿宋"/>
                <w:sz w:val="24"/>
                <w:szCs w:val="24"/>
              </w:rPr>
              <w:t>DB44/T 2285-2021</w:t>
            </w:r>
            <w:r>
              <w:rPr>
                <w:rFonts w:hint="eastAsia" w:ascii="仿宋" w:hAnsi="仿宋" w:eastAsia="仿宋" w:cs="仿宋"/>
                <w:sz w:val="24"/>
                <w:szCs w:val="24"/>
                <w:highlight w:val="none"/>
                <w:lang w:eastAsia="zh-CN"/>
              </w:rPr>
              <w:t>）</w:t>
            </w:r>
            <w:r>
              <w:rPr>
                <w:rFonts w:hint="eastAsia" w:ascii="仿宋" w:hAnsi="仿宋" w:eastAsia="仿宋" w:cs="仿宋"/>
                <w:sz w:val="24"/>
                <w:szCs w:val="24"/>
              </w:rPr>
              <w:t>，发布时间：20</w:t>
            </w:r>
            <w:r>
              <w:rPr>
                <w:rFonts w:hint="eastAsia" w:ascii="仿宋" w:hAnsi="仿宋" w:eastAsia="仿宋" w:cs="仿宋"/>
                <w:sz w:val="24"/>
                <w:szCs w:val="24"/>
                <w:lang w:val="en-US" w:eastAsia="zh-CN"/>
              </w:rPr>
              <w:t>21</w:t>
            </w:r>
            <w:r>
              <w:rPr>
                <w:rFonts w:hint="eastAsia" w:ascii="仿宋" w:hAnsi="仿宋" w:eastAsia="仿宋" w:cs="仿宋"/>
                <w:sz w:val="24"/>
                <w:szCs w:val="24"/>
              </w:rPr>
              <w:t>年</w:t>
            </w:r>
            <w:r>
              <w:rPr>
                <w:rFonts w:hint="eastAsia" w:ascii="仿宋" w:hAnsi="仿宋" w:eastAsia="仿宋" w:cs="仿宋"/>
                <w:sz w:val="24"/>
                <w:szCs w:val="24"/>
                <w:lang w:val="en-US" w:eastAsia="zh-CN"/>
              </w:rPr>
              <w:t>3</w:t>
            </w:r>
            <w:r>
              <w:rPr>
                <w:rFonts w:hint="eastAsia" w:ascii="仿宋" w:hAnsi="仿宋" w:eastAsia="仿宋" w:cs="仿宋"/>
                <w:sz w:val="24"/>
                <w:szCs w:val="24"/>
              </w:rPr>
              <w:t>月</w:t>
            </w:r>
            <w:r>
              <w:rPr>
                <w:rFonts w:hint="eastAsia" w:ascii="仿宋" w:hAnsi="仿宋" w:eastAsia="仿宋" w:cs="仿宋"/>
                <w:sz w:val="24"/>
                <w:szCs w:val="24"/>
                <w:lang w:val="en-US" w:eastAsia="zh-CN"/>
              </w:rPr>
              <w:t>6</w:t>
            </w:r>
            <w:r>
              <w:rPr>
                <w:rFonts w:hint="eastAsia" w:ascii="仿宋" w:hAnsi="仿宋" w:eastAsia="仿宋" w:cs="仿宋"/>
                <w:sz w:val="24"/>
                <w:szCs w:val="24"/>
              </w:rPr>
              <w:t>日；完成人</w:t>
            </w:r>
            <w:r>
              <w:rPr>
                <w:rFonts w:hint="eastAsia" w:ascii="仿宋" w:hAnsi="仿宋" w:eastAsia="仿宋" w:cs="仿宋"/>
                <w:sz w:val="24"/>
                <w:szCs w:val="24"/>
                <w:lang w:eastAsia="zh-CN"/>
              </w:rPr>
              <w:t>：何波祥，凌凤清，曾璐，汪迎利，张谦，蔡燕灵，连辉明，林什全，陈春如，谢佩吾，白青松，梁东成，侯晨，尧俊，陈一群，林胜，邱文霞，陈杰连，姚燕飞；</w:t>
            </w:r>
            <w:bookmarkStart w:id="6" w:name="OLE_LINK11"/>
            <w:r>
              <w:rPr>
                <w:rFonts w:hint="eastAsia" w:ascii="仿宋" w:hAnsi="仿宋" w:eastAsia="仿宋" w:cs="仿宋"/>
                <w:sz w:val="24"/>
                <w:szCs w:val="24"/>
                <w:lang w:eastAsia="zh-CN"/>
              </w:rPr>
              <w:t>起草单位：</w:t>
            </w:r>
            <w:bookmarkEnd w:id="6"/>
            <w:r>
              <w:rPr>
                <w:rFonts w:hint="eastAsia" w:ascii="仿宋" w:hAnsi="仿宋" w:eastAsia="仿宋" w:cs="仿宋"/>
                <w:sz w:val="24"/>
                <w:szCs w:val="24"/>
                <w:lang w:eastAsia="zh-CN"/>
              </w:rPr>
              <w:t>广东省林业科学研究院、广东华清园生物科技有限公司、广东森霖造绿有限公司、广东尚善环境建设有限公司。</w:t>
            </w:r>
          </w:p>
        </w:tc>
      </w:tr>
      <w:tr w14:paraId="45FC2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1346" w:type="dxa"/>
            <w:vMerge w:val="continue"/>
            <w:vAlign w:val="center"/>
          </w:tcPr>
          <w:p w14:paraId="2D9EBDF1">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5A2FC920">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rPr>
              <w:t>标准</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龙脑型阴香精油</w:t>
            </w:r>
            <w:r>
              <w:rPr>
                <w:rFonts w:hint="eastAsia" w:ascii="仿宋" w:hAnsi="仿宋" w:eastAsia="仿宋" w:cs="仿宋"/>
                <w:sz w:val="24"/>
                <w:szCs w:val="24"/>
              </w:rPr>
              <w:t>》</w:t>
            </w:r>
            <w:r>
              <w:rPr>
                <w:rFonts w:hint="eastAsia" w:ascii="仿宋" w:hAnsi="仿宋" w:eastAsia="仿宋" w:cs="仿宋"/>
                <w:sz w:val="24"/>
                <w:szCs w:val="24"/>
                <w:highlight w:val="none"/>
                <w:lang w:eastAsia="zh-CN"/>
              </w:rPr>
              <w:t>（</w:t>
            </w:r>
            <w:r>
              <w:rPr>
                <w:rFonts w:hint="eastAsia" w:ascii="仿宋" w:hAnsi="仿宋" w:eastAsia="仿宋" w:cs="仿宋"/>
                <w:sz w:val="24"/>
                <w:szCs w:val="24"/>
              </w:rPr>
              <w:t>T/GDFS 25</w:t>
            </w:r>
            <w:r>
              <w:rPr>
                <w:rFonts w:hint="eastAsia" w:ascii="仿宋" w:hAnsi="仿宋" w:eastAsia="仿宋" w:cs="仿宋"/>
                <w:sz w:val="24"/>
                <w:szCs w:val="24"/>
                <w:lang w:val="en-US" w:eastAsia="zh-CN"/>
              </w:rPr>
              <w:t>-</w:t>
            </w:r>
            <w:r>
              <w:rPr>
                <w:rFonts w:hint="eastAsia" w:ascii="仿宋" w:hAnsi="仿宋" w:eastAsia="仿宋" w:cs="仿宋"/>
                <w:sz w:val="24"/>
                <w:szCs w:val="24"/>
              </w:rPr>
              <w:t>2023</w:t>
            </w:r>
            <w:r>
              <w:rPr>
                <w:rFonts w:hint="eastAsia" w:ascii="仿宋" w:hAnsi="仿宋" w:eastAsia="仿宋" w:cs="仿宋"/>
                <w:sz w:val="24"/>
                <w:szCs w:val="24"/>
                <w:highlight w:val="none"/>
                <w:lang w:eastAsia="zh-CN"/>
              </w:rPr>
              <w:t>）</w:t>
            </w:r>
            <w:r>
              <w:rPr>
                <w:rFonts w:hint="eastAsia" w:ascii="仿宋" w:hAnsi="仿宋" w:eastAsia="仿宋" w:cs="仿宋"/>
                <w:sz w:val="24"/>
                <w:szCs w:val="24"/>
              </w:rPr>
              <w:t>，发布时间：20</w:t>
            </w:r>
            <w:r>
              <w:rPr>
                <w:rFonts w:hint="eastAsia" w:ascii="仿宋" w:hAnsi="仿宋" w:eastAsia="仿宋" w:cs="仿宋"/>
                <w:sz w:val="24"/>
                <w:szCs w:val="24"/>
                <w:lang w:val="en-US" w:eastAsia="zh-CN"/>
              </w:rPr>
              <w:t>23</w:t>
            </w:r>
            <w:r>
              <w:rPr>
                <w:rFonts w:hint="eastAsia" w:ascii="仿宋" w:hAnsi="仿宋" w:eastAsia="仿宋" w:cs="仿宋"/>
                <w:sz w:val="24"/>
                <w:szCs w:val="24"/>
              </w:rPr>
              <w:t>年</w:t>
            </w:r>
            <w:r>
              <w:rPr>
                <w:rFonts w:hint="eastAsia" w:ascii="仿宋" w:hAnsi="仿宋" w:eastAsia="仿宋" w:cs="仿宋"/>
                <w:sz w:val="24"/>
                <w:szCs w:val="24"/>
                <w:lang w:val="en-US" w:eastAsia="zh-CN"/>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11</w:t>
            </w:r>
            <w:r>
              <w:rPr>
                <w:rFonts w:hint="eastAsia" w:ascii="仿宋" w:hAnsi="仿宋" w:eastAsia="仿宋" w:cs="仿宋"/>
                <w:sz w:val="24"/>
                <w:szCs w:val="24"/>
              </w:rPr>
              <w:t>日；完成人</w:t>
            </w:r>
            <w:r>
              <w:rPr>
                <w:rFonts w:hint="eastAsia" w:ascii="仿宋" w:hAnsi="仿宋" w:eastAsia="仿宋" w:cs="仿宋"/>
                <w:sz w:val="24"/>
                <w:szCs w:val="24"/>
                <w:lang w:eastAsia="zh-CN"/>
              </w:rPr>
              <w:t>：侯晨，尧俊，姚燕飞，张谦，何波祥，李泽波，谢佩吾，陈杰连，凌凤清，蔡燕灵，汪迎利，连辉明，李兵，陈一群，钟泳林，林胜，郭玲；起草单位：广东省林业科学研究院、广东华清园生物科技有限公司、广东森霖造绿有限公司、广州绿粤科创林业有限公司。</w:t>
            </w:r>
          </w:p>
        </w:tc>
      </w:tr>
      <w:tr w14:paraId="63551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1346" w:type="dxa"/>
            <w:vMerge w:val="continue"/>
            <w:tcBorders>
              <w:bottom w:val="single" w:color="auto" w:sz="4" w:space="0"/>
            </w:tcBorders>
            <w:vAlign w:val="center"/>
          </w:tcPr>
          <w:p w14:paraId="6EA73A29">
            <w:pPr>
              <w:pStyle w:val="5"/>
              <w:keepNext w:val="0"/>
              <w:keepLines w:val="0"/>
              <w:pageBreakBefore w:val="0"/>
              <w:widowControl/>
              <w:kinsoku w:val="0"/>
              <w:wordWrap/>
              <w:overflowPunct/>
              <w:topLinePunct w:val="0"/>
              <w:autoSpaceDE w:val="0"/>
              <w:autoSpaceDN w:val="0"/>
              <w:bidi w:val="0"/>
              <w:adjustRightInd w:val="0"/>
              <w:snapToGrid w:val="0"/>
              <w:spacing w:line="240" w:lineRule="auto"/>
              <w:jc w:val="center"/>
              <w:rPr>
                <w:rFonts w:hint="eastAsia" w:ascii="仿宋" w:hAnsi="仿宋" w:eastAsia="仿宋" w:cs="仿宋"/>
                <w:sz w:val="24"/>
                <w:szCs w:val="24"/>
              </w:rPr>
            </w:pPr>
          </w:p>
        </w:tc>
        <w:tc>
          <w:tcPr>
            <w:tcW w:w="8393" w:type="dxa"/>
            <w:shd w:val="clear" w:color="auto" w:fill="auto"/>
            <w:tcMar>
              <w:top w:w="28" w:type="dxa"/>
              <w:left w:w="28" w:type="dxa"/>
              <w:bottom w:w="0" w:type="dxa"/>
              <w:right w:w="0" w:type="dxa"/>
            </w:tcMar>
            <w:vAlign w:val="center"/>
          </w:tcPr>
          <w:p w14:paraId="2D680CF9">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107" w:leftChars="51" w:firstLine="0" w:firstLine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rPr>
              <w:t>标准</w:t>
            </w:r>
            <w:r>
              <w:rPr>
                <w:rFonts w:hint="eastAsia" w:ascii="仿宋" w:hAnsi="仿宋" w:eastAsia="仿宋" w:cs="仿宋"/>
                <w:sz w:val="24"/>
                <w:szCs w:val="24"/>
                <w:lang w:val="en-US" w:eastAsia="zh-CN"/>
              </w:rPr>
              <w:t>3</w:t>
            </w:r>
            <w:r>
              <w:rPr>
                <w:rFonts w:hint="eastAsia" w:ascii="仿宋" w:hAnsi="仿宋" w:eastAsia="仿宋" w:cs="仿宋"/>
                <w:sz w:val="24"/>
                <w:szCs w:val="24"/>
              </w:rPr>
              <w:t>：</w:t>
            </w:r>
            <w:bookmarkStart w:id="7" w:name="OLE_LINK8"/>
            <w:r>
              <w:rPr>
                <w:rFonts w:hint="eastAsia" w:ascii="仿宋" w:hAnsi="仿宋" w:eastAsia="仿宋" w:cs="仿宋"/>
                <w:sz w:val="24"/>
                <w:szCs w:val="24"/>
              </w:rPr>
              <w:t>《阴香化学类型检测技术规程》</w:t>
            </w:r>
            <w:bookmarkEnd w:id="7"/>
            <w:r>
              <w:rPr>
                <w:rFonts w:hint="eastAsia" w:ascii="仿宋" w:hAnsi="仿宋" w:eastAsia="仿宋" w:cs="仿宋"/>
                <w:sz w:val="24"/>
                <w:szCs w:val="24"/>
                <w:highlight w:val="none"/>
                <w:lang w:eastAsia="zh-CN"/>
              </w:rPr>
              <w:t>（</w:t>
            </w:r>
            <w:r>
              <w:rPr>
                <w:rFonts w:hint="eastAsia" w:ascii="仿宋" w:hAnsi="仿宋" w:eastAsia="仿宋" w:cs="仿宋"/>
                <w:sz w:val="24"/>
                <w:szCs w:val="24"/>
              </w:rPr>
              <w:t>T/GDFS 53</w:t>
            </w:r>
            <w:r>
              <w:rPr>
                <w:rFonts w:hint="eastAsia" w:ascii="仿宋" w:hAnsi="仿宋" w:eastAsia="仿宋" w:cs="仿宋"/>
                <w:sz w:val="24"/>
                <w:szCs w:val="24"/>
                <w:lang w:val="en-US" w:eastAsia="zh-CN"/>
              </w:rPr>
              <w:t>-</w:t>
            </w:r>
            <w:r>
              <w:rPr>
                <w:rFonts w:hint="eastAsia" w:ascii="仿宋" w:hAnsi="仿宋" w:eastAsia="仿宋" w:cs="仿宋"/>
                <w:sz w:val="24"/>
                <w:szCs w:val="24"/>
              </w:rPr>
              <w:t>2024</w:t>
            </w:r>
            <w:r>
              <w:rPr>
                <w:rFonts w:hint="eastAsia" w:ascii="仿宋" w:hAnsi="仿宋" w:eastAsia="仿宋" w:cs="仿宋"/>
                <w:sz w:val="24"/>
                <w:szCs w:val="24"/>
                <w:highlight w:val="none"/>
                <w:lang w:eastAsia="zh-CN"/>
              </w:rPr>
              <w:t>）</w:t>
            </w:r>
            <w:r>
              <w:rPr>
                <w:rFonts w:hint="eastAsia" w:ascii="仿宋" w:hAnsi="仿宋" w:eastAsia="仿宋" w:cs="仿宋"/>
                <w:sz w:val="24"/>
                <w:szCs w:val="24"/>
              </w:rPr>
              <w:t>，发布时间：20</w:t>
            </w:r>
            <w:r>
              <w:rPr>
                <w:rFonts w:hint="eastAsia" w:ascii="仿宋" w:hAnsi="仿宋" w:eastAsia="仿宋" w:cs="仿宋"/>
                <w:sz w:val="24"/>
                <w:szCs w:val="24"/>
                <w:lang w:val="en-US" w:eastAsia="zh-CN"/>
              </w:rPr>
              <w:t>24</w:t>
            </w:r>
            <w:r>
              <w:rPr>
                <w:rFonts w:hint="eastAsia" w:ascii="仿宋" w:hAnsi="仿宋" w:eastAsia="仿宋" w:cs="仿宋"/>
                <w:sz w:val="24"/>
                <w:szCs w:val="24"/>
              </w:rPr>
              <w:t>年</w:t>
            </w:r>
            <w:r>
              <w:rPr>
                <w:rFonts w:hint="eastAsia" w:ascii="仿宋" w:hAnsi="仿宋" w:eastAsia="仿宋" w:cs="仿宋"/>
                <w:sz w:val="24"/>
                <w:szCs w:val="24"/>
                <w:lang w:val="en-US" w:eastAsia="zh-CN"/>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日；完成人</w:t>
            </w:r>
            <w:r>
              <w:rPr>
                <w:rFonts w:hint="eastAsia" w:ascii="仿宋" w:hAnsi="仿宋" w:eastAsia="仿宋" w:cs="仿宋"/>
                <w:sz w:val="24"/>
                <w:szCs w:val="24"/>
                <w:lang w:eastAsia="zh-CN"/>
              </w:rPr>
              <w:t>：李兵，侯晨，陈杰连，凌凯豪，钟远芳，张谦，连辉明，钟雨庭，何波祥，凌宏有，汪迎利，钟泳林，蔡燕灵；起草单位：广东省林业科学研究院、广东华清园生物科技有限公司、紫金县林业科学研究所。</w:t>
            </w:r>
          </w:p>
        </w:tc>
      </w:tr>
    </w:tbl>
    <w:p w14:paraId="5CE351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D2CFC"/>
    <w:multiLevelType w:val="singleLevel"/>
    <w:tmpl w:val="83AD2CFC"/>
    <w:lvl w:ilvl="0" w:tentative="0">
      <w:start w:val="1"/>
      <w:numFmt w:val="decimal"/>
      <w:suff w:val="space"/>
      <w:lvlText w:val="%1."/>
      <w:lvlJc w:val="left"/>
    </w:lvl>
  </w:abstractNum>
  <w:abstractNum w:abstractNumId="1">
    <w:nsid w:val="C627E47B"/>
    <w:multiLevelType w:val="singleLevel"/>
    <w:tmpl w:val="C627E47B"/>
    <w:lvl w:ilvl="0" w:tentative="0">
      <w:start w:val="11"/>
      <w:numFmt w:val="decimal"/>
      <w:suff w:val="space"/>
      <w:lvlText w:val="%1."/>
      <w:lvlJc w:val="left"/>
    </w:lvl>
  </w:abstractNum>
  <w:abstractNum w:abstractNumId="2">
    <w:nsid w:val="0ADD20F6"/>
    <w:multiLevelType w:val="singleLevel"/>
    <w:tmpl w:val="0ADD20F6"/>
    <w:lvl w:ilvl="0" w:tentative="0">
      <w:start w:val="14"/>
      <w:numFmt w:val="decimal"/>
      <w:suff w:val="space"/>
      <w:lvlText w:val="%1."/>
      <w:lvlJc w:val="left"/>
    </w:lvl>
  </w:abstractNum>
  <w:abstractNum w:abstractNumId="3">
    <w:nsid w:val="351C7AF9"/>
    <w:multiLevelType w:val="singleLevel"/>
    <w:tmpl w:val="351C7AF9"/>
    <w:lvl w:ilvl="0" w:tentative="0">
      <w:start w:val="2"/>
      <w:numFmt w:val="decimal"/>
      <w:suff w:val="space"/>
      <w:lvlText w:val="%1."/>
      <w:lvlJc w:val="left"/>
    </w:lvl>
  </w:abstractNum>
  <w:abstractNum w:abstractNumId="4">
    <w:nsid w:val="72DB0253"/>
    <w:multiLevelType w:val="singleLevel"/>
    <w:tmpl w:val="72DB0253"/>
    <w:lvl w:ilvl="0" w:tentative="0">
      <w:start w:val="3"/>
      <w:numFmt w:val="decimal"/>
      <w:suff w:val="space"/>
      <w:lvlText w:val="%1."/>
      <w:lvlJc w:val="left"/>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636A30"/>
    <w:rsid w:val="05636A30"/>
    <w:rsid w:val="13BF21F2"/>
    <w:rsid w:val="5B175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eastAsia="Ari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省林业厅</Company>
  <Pages>3</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2025-12-18T01:06:00Z</dcterms:created>
  <dc:creator>CH</dc:creator>
  <cp:lastModifiedBy>CH</cp:lastModifiedBy>
  <dcterms:modified xsi:type="dcterms:W3CDTF">2025-12-18T01:14:50Z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330C2AD4AB314AE0B509B92F1CC11D35_11</vt:lpwstr>
  </property>
  <property fmtid="{D5CDD505-2E9C-101B-9397-08002B2CF9AE}" pid="4" name="KSOTemplateDocerSaveRecord">
    <vt:lpwstr>eyJoZGlkIjoiYmQxNTYyYmM0MjVkNjk1OGFjNWQyMjk0ZWUwZTJiM2IiLCJ1c2VySWQiOiIzNjg5Njk0NzkifQ==</vt:lpwstr>
  </property>
</Properties>
</file>